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A1E1BD">
      <w:pPr>
        <w:rPr>
          <w:rFonts w:hint="default" w:ascii="宋体" w:hAnsi="宋体" w:eastAsia="宋体" w:cs="宋体"/>
          <w:b w:val="0"/>
          <w:bCs w:val="0"/>
          <w:sz w:val="24"/>
          <w:szCs w:val="24"/>
          <w:lang w:val="en-US" w:eastAsia="zh-CN"/>
        </w:rPr>
      </w:pPr>
    </w:p>
    <w:p w14:paraId="10B609C9">
      <w:pPr>
        <w:spacing w:line="420" w:lineRule="exact"/>
        <w:jc w:val="center"/>
        <w:rPr>
          <w:rFonts w:hint="eastAsia" w:ascii="方正公文小标宋" w:hAnsi="方正公文小标宋" w:eastAsia="方正公文小标宋" w:cs="方正公文小标宋"/>
          <w:b w:val="0"/>
          <w:bCs/>
          <w:kern w:val="0"/>
          <w:sz w:val="24"/>
          <w:lang w:val="en-US" w:eastAsia="zh-CN"/>
        </w:rPr>
      </w:pPr>
      <w:r>
        <w:rPr>
          <w:rFonts w:hint="eastAsia" w:ascii="方正公文小标宋" w:hAnsi="方正公文小标宋" w:eastAsia="方正公文小标宋" w:cs="方正公文小标宋"/>
          <w:b w:val="0"/>
          <w:bCs/>
          <w:sz w:val="32"/>
          <w:szCs w:val="32"/>
        </w:rPr>
        <w:t>西南医科大学附属口腔医院</w:t>
      </w:r>
      <w:r>
        <w:rPr>
          <w:rFonts w:hint="eastAsia" w:ascii="方正公文小标宋" w:hAnsi="方正公文小标宋" w:eastAsia="方正公文小标宋" w:cs="方正公文小标宋"/>
          <w:b w:val="0"/>
          <w:bCs/>
          <w:sz w:val="32"/>
          <w:szCs w:val="32"/>
          <w:lang w:val="en-US" w:eastAsia="zh-CN"/>
        </w:rPr>
        <w:t>询价采购报价单</w:t>
      </w:r>
    </w:p>
    <w:tbl>
      <w:tblPr>
        <w:tblStyle w:val="12"/>
        <w:tblpPr w:leftFromText="180" w:rightFromText="180" w:vertAnchor="text" w:horzAnchor="page" w:tblpXSpec="center" w:tblpY="213"/>
        <w:tblOverlap w:val="never"/>
        <w:tblW w:w="10436" w:type="dxa"/>
        <w:jc w:val="center"/>
        <w:tblLayout w:type="fixed"/>
        <w:tblCellMar>
          <w:top w:w="0" w:type="dxa"/>
          <w:left w:w="108" w:type="dxa"/>
          <w:bottom w:w="0" w:type="dxa"/>
          <w:right w:w="108" w:type="dxa"/>
        </w:tblCellMar>
      </w:tblPr>
      <w:tblGrid>
        <w:gridCol w:w="2051"/>
        <w:gridCol w:w="1903"/>
        <w:gridCol w:w="1293"/>
        <w:gridCol w:w="906"/>
        <w:gridCol w:w="4283"/>
      </w:tblGrid>
      <w:tr w14:paraId="76ADC902">
        <w:tblPrEx>
          <w:tblCellMar>
            <w:top w:w="0" w:type="dxa"/>
            <w:left w:w="108" w:type="dxa"/>
            <w:bottom w:w="0" w:type="dxa"/>
            <w:right w:w="108" w:type="dxa"/>
          </w:tblCellMar>
        </w:tblPrEx>
        <w:trPr>
          <w:trHeight w:val="564" w:hRule="atLeast"/>
          <w:jc w:val="center"/>
        </w:trPr>
        <w:tc>
          <w:tcPr>
            <w:tcW w:w="2051" w:type="dxa"/>
            <w:tcBorders>
              <w:top w:val="single" w:color="auto" w:sz="4" w:space="0"/>
              <w:left w:val="single" w:color="auto" w:sz="4" w:space="0"/>
              <w:bottom w:val="single" w:color="auto" w:sz="4" w:space="0"/>
              <w:right w:val="single" w:color="auto" w:sz="4" w:space="0"/>
            </w:tcBorders>
            <w:noWrap/>
            <w:vAlign w:val="center"/>
          </w:tcPr>
          <w:p w14:paraId="19E16785">
            <w:pPr>
              <w:widowControl/>
              <w:jc w:val="center"/>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项目名称</w:t>
            </w:r>
          </w:p>
        </w:tc>
        <w:tc>
          <w:tcPr>
            <w:tcW w:w="8385" w:type="dxa"/>
            <w:gridSpan w:val="4"/>
            <w:tcBorders>
              <w:top w:val="single" w:color="auto" w:sz="4" w:space="0"/>
              <w:left w:val="nil"/>
              <w:bottom w:val="single" w:color="auto" w:sz="4" w:space="0"/>
              <w:right w:val="single" w:color="auto" w:sz="4" w:space="0"/>
            </w:tcBorders>
            <w:noWrap/>
            <w:vAlign w:val="center"/>
          </w:tcPr>
          <w:p w14:paraId="05F429B2">
            <w:pPr>
              <w:spacing w:line="240" w:lineRule="auto"/>
              <w:ind w:right="0" w:rightChars="0"/>
              <w:jc w:val="both"/>
              <w:rPr>
                <w:rFonts w:hint="default" w:ascii="仿宋" w:hAnsi="仿宋" w:eastAsia="仿宋" w:cs="仿宋"/>
                <w:kern w:val="0"/>
                <w:sz w:val="24"/>
                <w:lang w:val="en-US" w:eastAsia="zh-CN"/>
              </w:rPr>
            </w:pPr>
            <w:r>
              <w:rPr>
                <w:rFonts w:hint="eastAsia" w:asciiTheme="minorEastAsia" w:hAnsiTheme="minorEastAsia" w:cstheme="minorEastAsia"/>
                <w:b/>
                <w:bCs/>
                <w:sz w:val="24"/>
                <w:szCs w:val="24"/>
                <w:highlight w:val="none"/>
                <w:vertAlign w:val="baseline"/>
                <w:lang w:val="en-US" w:eastAsia="zh-CN"/>
              </w:rPr>
              <w:t>氧化亚氮（笑气）</w:t>
            </w:r>
          </w:p>
        </w:tc>
      </w:tr>
      <w:tr w14:paraId="3177687A">
        <w:tblPrEx>
          <w:tblCellMar>
            <w:top w:w="0" w:type="dxa"/>
            <w:left w:w="108" w:type="dxa"/>
            <w:bottom w:w="0" w:type="dxa"/>
            <w:right w:w="108" w:type="dxa"/>
          </w:tblCellMar>
        </w:tblPrEx>
        <w:trPr>
          <w:trHeight w:val="553" w:hRule="atLeast"/>
          <w:jc w:val="center"/>
        </w:trPr>
        <w:tc>
          <w:tcPr>
            <w:tcW w:w="2051" w:type="dxa"/>
            <w:tcBorders>
              <w:top w:val="single" w:color="auto" w:sz="4" w:space="0"/>
              <w:left w:val="single" w:color="auto" w:sz="4" w:space="0"/>
              <w:bottom w:val="single" w:color="auto" w:sz="4" w:space="0"/>
              <w:right w:val="single" w:color="auto" w:sz="4" w:space="0"/>
            </w:tcBorders>
            <w:noWrap/>
            <w:vAlign w:val="center"/>
          </w:tcPr>
          <w:p w14:paraId="3F6F130E">
            <w:pPr>
              <w:widowControl/>
              <w:jc w:val="center"/>
              <w:rPr>
                <w:rFonts w:hint="default" w:ascii="宋体" w:hAnsi="宋体" w:eastAsia="宋体" w:cs="宋体"/>
                <w:b/>
                <w:bCs/>
                <w:kern w:val="0"/>
                <w:sz w:val="24"/>
                <w:lang w:val="en-US" w:eastAsia="zh-CN"/>
              </w:rPr>
            </w:pPr>
            <w:r>
              <w:rPr>
                <w:rFonts w:hint="eastAsia" w:ascii="宋体" w:hAnsi="宋体" w:eastAsia="宋体" w:cs="宋体"/>
                <w:b/>
                <w:bCs/>
                <w:kern w:val="0"/>
                <w:sz w:val="24"/>
                <w:lang w:val="en-US" w:eastAsia="zh-CN"/>
              </w:rPr>
              <w:t>采购内容</w:t>
            </w:r>
          </w:p>
        </w:tc>
        <w:tc>
          <w:tcPr>
            <w:tcW w:w="8385" w:type="dxa"/>
            <w:gridSpan w:val="4"/>
            <w:tcBorders>
              <w:top w:val="single" w:color="auto" w:sz="4" w:space="0"/>
              <w:left w:val="nil"/>
              <w:bottom w:val="single" w:color="auto" w:sz="4" w:space="0"/>
              <w:right w:val="single" w:color="auto" w:sz="4" w:space="0"/>
            </w:tcBorders>
            <w:noWrap/>
            <w:vAlign w:val="center"/>
          </w:tcPr>
          <w:p w14:paraId="5B21F210">
            <w:pPr>
              <w:spacing w:line="240" w:lineRule="auto"/>
              <w:ind w:right="0" w:rightChars="0"/>
              <w:jc w:val="both"/>
              <w:rPr>
                <w:rFonts w:hint="eastAsia" w:ascii="仿宋" w:hAnsi="仿宋" w:eastAsia="仿宋" w:cs="仿宋"/>
                <w:kern w:val="0"/>
                <w:sz w:val="24"/>
                <w:lang w:val="en-US" w:eastAsia="zh-CN"/>
              </w:rPr>
            </w:pPr>
            <w:r>
              <w:rPr>
                <w:rFonts w:hint="eastAsia" w:asciiTheme="minorEastAsia" w:hAnsiTheme="minorEastAsia" w:cstheme="minorEastAsia"/>
                <w:b/>
                <w:bCs/>
                <w:sz w:val="24"/>
                <w:szCs w:val="24"/>
                <w:highlight w:val="none"/>
                <w:vertAlign w:val="baseline"/>
                <w:lang w:val="en-US" w:eastAsia="zh-CN"/>
              </w:rPr>
              <w:t>40L氧化亚氮（笑气）</w:t>
            </w:r>
          </w:p>
        </w:tc>
      </w:tr>
      <w:tr w14:paraId="57AB8C0E">
        <w:tblPrEx>
          <w:tblCellMar>
            <w:top w:w="0" w:type="dxa"/>
            <w:left w:w="108" w:type="dxa"/>
            <w:bottom w:w="0" w:type="dxa"/>
            <w:right w:w="108" w:type="dxa"/>
          </w:tblCellMar>
        </w:tblPrEx>
        <w:trPr>
          <w:trHeight w:val="1126" w:hRule="atLeast"/>
          <w:jc w:val="center"/>
        </w:trPr>
        <w:tc>
          <w:tcPr>
            <w:tcW w:w="2051" w:type="dxa"/>
            <w:tcBorders>
              <w:top w:val="single" w:color="auto" w:sz="4" w:space="0"/>
              <w:left w:val="single" w:color="auto" w:sz="4" w:space="0"/>
              <w:bottom w:val="single" w:color="auto" w:sz="4" w:space="0"/>
              <w:right w:val="single" w:color="auto" w:sz="4" w:space="0"/>
            </w:tcBorders>
            <w:noWrap/>
            <w:vAlign w:val="center"/>
          </w:tcPr>
          <w:p w14:paraId="1DC8AAC2">
            <w:pPr>
              <w:widowControl/>
              <w:jc w:val="center"/>
              <w:rPr>
                <w:rFonts w:hint="default" w:ascii="宋体" w:hAnsi="宋体" w:eastAsia="宋体" w:cs="宋体"/>
                <w:b/>
                <w:bCs/>
                <w:kern w:val="0"/>
                <w:sz w:val="24"/>
                <w:lang w:val="en-US" w:eastAsia="zh-CN"/>
              </w:rPr>
            </w:pPr>
            <w:r>
              <w:rPr>
                <w:rFonts w:hint="eastAsia" w:ascii="宋体" w:hAnsi="宋体" w:eastAsia="宋体" w:cs="宋体"/>
                <w:b/>
                <w:bCs/>
                <w:kern w:val="0"/>
                <w:sz w:val="24"/>
                <w:lang w:val="en-US" w:eastAsia="zh-CN"/>
              </w:rPr>
              <w:t>商务要求（实质性要求）</w:t>
            </w:r>
          </w:p>
        </w:tc>
        <w:tc>
          <w:tcPr>
            <w:tcW w:w="8385" w:type="dxa"/>
            <w:gridSpan w:val="4"/>
            <w:tcBorders>
              <w:top w:val="single" w:color="auto" w:sz="4" w:space="0"/>
              <w:left w:val="nil"/>
              <w:bottom w:val="single" w:color="auto" w:sz="4" w:space="0"/>
              <w:right w:val="single" w:color="auto" w:sz="4" w:space="0"/>
            </w:tcBorders>
            <w:noWrap/>
            <w:vAlign w:val="center"/>
          </w:tcPr>
          <w:p w14:paraId="17BDFC0E">
            <w:pPr>
              <w:keepNext w:val="0"/>
              <w:keepLines w:val="0"/>
              <w:pageBreakBefore w:val="0"/>
              <w:widowControl w:val="0"/>
              <w:numPr>
                <w:ilvl w:val="0"/>
                <w:numId w:val="1"/>
              </w:numPr>
              <w:kinsoku/>
              <w:wordWrap/>
              <w:overflowPunct/>
              <w:topLinePunct w:val="0"/>
              <w:autoSpaceDE/>
              <w:autoSpaceDN/>
              <w:bidi w:val="0"/>
              <w:adjustRightInd/>
              <w:snapToGrid/>
              <w:spacing w:line="300" w:lineRule="exac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中标人按照采购报价单规定的货物名称、规格、参数要求进行配送。如有质量问题或与采购需求不符，由中标人承担全部责任，采购人保留追究相关损失的权利；</w:t>
            </w:r>
          </w:p>
          <w:p w14:paraId="6B9D2015">
            <w:pPr>
              <w:keepNext w:val="0"/>
              <w:keepLines w:val="0"/>
              <w:pageBreakBefore w:val="0"/>
              <w:widowControl w:val="0"/>
              <w:numPr>
                <w:ilvl w:val="0"/>
                <w:numId w:val="1"/>
              </w:numPr>
              <w:kinsoku/>
              <w:wordWrap/>
              <w:overflowPunct/>
              <w:topLinePunct w:val="0"/>
              <w:autoSpaceDE/>
              <w:autoSpaceDN/>
              <w:bidi w:val="0"/>
              <w:adjustRightInd/>
              <w:snapToGrid/>
              <w:spacing w:line="300" w:lineRule="exac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交货时间：根据采购人实际需要送货；</w:t>
            </w:r>
          </w:p>
          <w:p w14:paraId="1A4D262E">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left="0" w:leftChars="0" w:firstLine="0" w:firstLineChars="0"/>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付款时间、方式：自中标人交付货物后，采购人验收合格入库后1个季度内支付款项。采购人付款前，中标人须向甲方出具完整、合法、有效的完税发票及凭证资料进行结算。</w:t>
            </w:r>
          </w:p>
        </w:tc>
      </w:tr>
      <w:tr w14:paraId="2BE21BBE">
        <w:tblPrEx>
          <w:tblCellMar>
            <w:top w:w="0" w:type="dxa"/>
            <w:left w:w="108" w:type="dxa"/>
            <w:bottom w:w="0" w:type="dxa"/>
            <w:right w:w="108" w:type="dxa"/>
          </w:tblCellMar>
        </w:tblPrEx>
        <w:trPr>
          <w:trHeight w:val="1472" w:hRule="atLeast"/>
          <w:jc w:val="center"/>
        </w:trPr>
        <w:tc>
          <w:tcPr>
            <w:tcW w:w="2051" w:type="dxa"/>
            <w:tcBorders>
              <w:top w:val="single" w:color="auto" w:sz="4" w:space="0"/>
              <w:left w:val="single" w:color="auto" w:sz="4" w:space="0"/>
              <w:bottom w:val="single" w:color="auto" w:sz="4" w:space="0"/>
              <w:right w:val="single" w:color="auto" w:sz="4" w:space="0"/>
            </w:tcBorders>
            <w:noWrap/>
            <w:vAlign w:val="center"/>
          </w:tcPr>
          <w:p w14:paraId="119BC8B6">
            <w:pPr>
              <w:widowControl/>
              <w:jc w:val="center"/>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技术</w:t>
            </w:r>
            <w:r>
              <w:rPr>
                <w:rFonts w:hint="eastAsia" w:ascii="宋体" w:hAnsi="宋体" w:eastAsia="宋体" w:cs="宋体"/>
                <w:b/>
                <w:bCs/>
                <w:kern w:val="0"/>
                <w:sz w:val="24"/>
                <w:lang w:val="en-US" w:eastAsia="zh-CN"/>
              </w:rPr>
              <w:t>参数要求</w:t>
            </w:r>
          </w:p>
        </w:tc>
        <w:tc>
          <w:tcPr>
            <w:tcW w:w="8385" w:type="dxa"/>
            <w:gridSpan w:val="4"/>
            <w:tcBorders>
              <w:top w:val="single" w:color="auto" w:sz="4" w:space="0"/>
              <w:left w:val="nil"/>
              <w:bottom w:val="single" w:color="auto" w:sz="4" w:space="0"/>
              <w:right w:val="single" w:color="auto" w:sz="4" w:space="0"/>
            </w:tcBorders>
            <w:noWrap/>
            <w:vAlign w:val="center"/>
          </w:tcPr>
          <w:p w14:paraId="012CBB28">
            <w:pPr>
              <w:keepNext w:val="0"/>
              <w:keepLines w:val="0"/>
              <w:pageBreakBefore w:val="0"/>
              <w:widowControl w:val="0"/>
              <w:numPr>
                <w:ilvl w:val="0"/>
                <w:numId w:val="2"/>
              </w:numPr>
              <w:kinsoku/>
              <w:wordWrap/>
              <w:overflowPunct/>
              <w:topLinePunct w:val="0"/>
              <w:autoSpaceDE/>
              <w:autoSpaceDN/>
              <w:bidi w:val="0"/>
              <w:adjustRightInd/>
              <w:snapToGrid/>
              <w:spacing w:line="300" w:lineRule="exac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符合《氧化亚氮（GB/T 28729-2012）》医用</w:t>
            </w:r>
            <w:bookmarkStart w:id="0" w:name="_GoBack"/>
            <w:bookmarkEnd w:id="0"/>
            <w:r>
              <w:rPr>
                <w:rFonts w:hint="eastAsia" w:ascii="仿宋" w:hAnsi="仿宋" w:eastAsia="仿宋" w:cs="仿宋"/>
                <w:b/>
                <w:bCs/>
                <w:color w:val="auto"/>
                <w:sz w:val="24"/>
                <w:szCs w:val="24"/>
                <w:lang w:val="en-US" w:eastAsia="zh-CN"/>
              </w:rPr>
              <w:t>规定；</w:t>
            </w:r>
          </w:p>
          <w:p w14:paraId="39D196C0">
            <w:pPr>
              <w:keepNext w:val="0"/>
              <w:keepLines w:val="0"/>
              <w:pageBreakBefore w:val="0"/>
              <w:widowControl w:val="0"/>
              <w:numPr>
                <w:ilvl w:val="0"/>
                <w:numId w:val="2"/>
              </w:numPr>
              <w:kinsoku/>
              <w:wordWrap/>
              <w:overflowPunct/>
              <w:topLinePunct w:val="0"/>
              <w:autoSpaceDE/>
              <w:autoSpaceDN/>
              <w:bidi w:val="0"/>
              <w:adjustRightInd/>
              <w:snapToGrid/>
              <w:spacing w:line="300" w:lineRule="exac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中标人根据采购人所需气瓶数量和规格大小(气瓶应按相关标准和要求灌满氧气，气瓶的所有权归投标人)进行瓶装医用气的配送，提供的气瓶须在质检合格期内；</w:t>
            </w:r>
          </w:p>
          <w:p w14:paraId="10EC156B">
            <w:pPr>
              <w:keepNext w:val="0"/>
              <w:keepLines w:val="0"/>
              <w:pageBreakBefore w:val="0"/>
              <w:widowControl w:val="0"/>
              <w:numPr>
                <w:ilvl w:val="0"/>
                <w:numId w:val="2"/>
              </w:numPr>
              <w:kinsoku/>
              <w:wordWrap/>
              <w:overflowPunct/>
              <w:topLinePunct w:val="0"/>
              <w:autoSpaceDE/>
              <w:autoSpaceDN/>
              <w:bidi w:val="0"/>
              <w:adjustRightInd/>
              <w:snapToGrid/>
              <w:spacing w:line="300" w:lineRule="exact"/>
              <w:textAlignment w:val="auto"/>
              <w:rPr>
                <w:rFonts w:hint="default" w:ascii="仿宋" w:hAnsi="仿宋" w:eastAsia="仿宋" w:cs="仿宋"/>
                <w:b/>
                <w:bCs/>
                <w:color w:val="auto"/>
                <w:sz w:val="24"/>
                <w:szCs w:val="24"/>
                <w:lang w:val="en-US" w:eastAsia="zh-CN"/>
              </w:rPr>
            </w:pPr>
            <w:r>
              <w:rPr>
                <w:rFonts w:hint="default" w:ascii="仿宋" w:hAnsi="仿宋" w:eastAsia="仿宋" w:cs="仿宋"/>
                <w:b/>
                <w:bCs/>
                <w:color w:val="auto"/>
                <w:sz w:val="24"/>
                <w:szCs w:val="24"/>
                <w:lang w:val="en-US" w:eastAsia="zh-CN"/>
              </w:rPr>
              <w:t>投标人具有有效的《危险化学品经营许可证》</w:t>
            </w:r>
            <w:r>
              <w:rPr>
                <w:rFonts w:hint="eastAsia" w:ascii="仿宋" w:hAnsi="仿宋" w:eastAsia="仿宋" w:cs="仿宋"/>
                <w:b/>
                <w:bCs/>
                <w:color w:val="auto"/>
                <w:sz w:val="24"/>
                <w:szCs w:val="24"/>
                <w:lang w:val="en-US" w:eastAsia="zh-CN"/>
              </w:rPr>
              <w:t>;</w:t>
            </w:r>
          </w:p>
          <w:p w14:paraId="0D35F8BF">
            <w:pPr>
              <w:keepNext w:val="0"/>
              <w:keepLines w:val="0"/>
              <w:pageBreakBefore w:val="0"/>
              <w:widowControl w:val="0"/>
              <w:numPr>
                <w:ilvl w:val="0"/>
                <w:numId w:val="2"/>
              </w:numPr>
              <w:kinsoku/>
              <w:wordWrap/>
              <w:overflowPunct/>
              <w:topLinePunct w:val="0"/>
              <w:autoSpaceDE/>
              <w:autoSpaceDN/>
              <w:bidi w:val="0"/>
              <w:adjustRightInd/>
              <w:snapToGrid/>
              <w:spacing w:line="300" w:lineRule="exact"/>
              <w:textAlignment w:val="auto"/>
              <w:rPr>
                <w:rFonts w:hint="default" w:ascii="仿宋" w:hAnsi="仿宋" w:eastAsia="仿宋" w:cs="仿宋"/>
                <w:b/>
                <w:bCs/>
                <w:color w:val="auto"/>
                <w:sz w:val="24"/>
                <w:szCs w:val="24"/>
                <w:lang w:val="en-US" w:eastAsia="zh-CN"/>
              </w:rPr>
            </w:pPr>
            <w:r>
              <w:rPr>
                <w:rFonts w:hint="default" w:ascii="仿宋" w:hAnsi="仿宋" w:eastAsia="仿宋" w:cs="仿宋"/>
                <w:b/>
                <w:bCs/>
                <w:color w:val="auto"/>
                <w:sz w:val="24"/>
                <w:szCs w:val="24"/>
                <w:lang w:val="en-US" w:eastAsia="zh-CN"/>
              </w:rPr>
              <w:t>投标人须具有有效的《气瓶充装许可证》或者《移动式压力容器充装许可证》</w:t>
            </w:r>
            <w:r>
              <w:rPr>
                <w:rFonts w:hint="eastAsia" w:ascii="仿宋" w:hAnsi="仿宋" w:eastAsia="仿宋" w:cs="仿宋"/>
                <w:b/>
                <w:bCs/>
                <w:color w:val="auto"/>
                <w:sz w:val="24"/>
                <w:szCs w:val="24"/>
                <w:lang w:val="en-US" w:eastAsia="zh-CN"/>
              </w:rPr>
              <w:t>;</w:t>
            </w:r>
          </w:p>
          <w:p w14:paraId="7BBD9258">
            <w:pPr>
              <w:keepNext w:val="0"/>
              <w:keepLines w:val="0"/>
              <w:pageBreakBefore w:val="0"/>
              <w:widowControl w:val="0"/>
              <w:numPr>
                <w:ilvl w:val="0"/>
                <w:numId w:val="2"/>
              </w:numPr>
              <w:kinsoku/>
              <w:wordWrap/>
              <w:overflowPunct/>
              <w:topLinePunct w:val="0"/>
              <w:autoSpaceDE/>
              <w:autoSpaceDN/>
              <w:bidi w:val="0"/>
              <w:adjustRightInd/>
              <w:snapToGrid/>
              <w:spacing w:line="300" w:lineRule="exact"/>
              <w:textAlignment w:val="auto"/>
              <w:rPr>
                <w:rFonts w:hint="default" w:ascii="仿宋" w:hAnsi="仿宋" w:eastAsia="仿宋" w:cs="仿宋"/>
                <w:kern w:val="0"/>
                <w:sz w:val="24"/>
                <w:lang w:val="en-US" w:eastAsia="zh-CN"/>
              </w:rPr>
            </w:pPr>
            <w:r>
              <w:rPr>
                <w:rFonts w:hint="eastAsia" w:ascii="仿宋" w:hAnsi="仿宋" w:eastAsia="仿宋" w:cs="仿宋"/>
                <w:b/>
                <w:bCs/>
                <w:color w:val="auto"/>
                <w:sz w:val="24"/>
                <w:szCs w:val="24"/>
                <w:lang w:val="en-US" w:eastAsia="zh-CN"/>
              </w:rPr>
              <w:t>中标人为本项目配置的配送驾驶员应具备中华人民共和国道路运输从业人员从业资格证，从业资格类别含：道路危险货物运输驾驶员；为本项目配置的配送押运人员应具备中华人民共和国道路运输从业人员从业资格证，从业资格类别含：道路危险货物运输押运人员。</w:t>
            </w:r>
          </w:p>
          <w:p w14:paraId="145608D0">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仿宋" w:hAnsi="仿宋" w:eastAsia="仿宋" w:cs="仿宋"/>
                <w:kern w:val="0"/>
                <w:sz w:val="24"/>
                <w:lang w:val="en-US" w:eastAsia="zh-CN"/>
              </w:rPr>
            </w:pPr>
          </w:p>
        </w:tc>
      </w:tr>
      <w:tr w14:paraId="47F89196">
        <w:tblPrEx>
          <w:tblCellMar>
            <w:top w:w="0" w:type="dxa"/>
            <w:left w:w="108" w:type="dxa"/>
            <w:bottom w:w="0" w:type="dxa"/>
            <w:right w:w="108" w:type="dxa"/>
          </w:tblCellMar>
        </w:tblPrEx>
        <w:trPr>
          <w:trHeight w:val="559" w:hRule="atLeast"/>
          <w:jc w:val="center"/>
        </w:trPr>
        <w:tc>
          <w:tcPr>
            <w:tcW w:w="10436" w:type="dxa"/>
            <w:gridSpan w:val="5"/>
            <w:tcBorders>
              <w:top w:val="single" w:color="auto" w:sz="4" w:space="0"/>
              <w:left w:val="single" w:color="auto" w:sz="4" w:space="0"/>
              <w:bottom w:val="single" w:color="auto" w:sz="4" w:space="0"/>
              <w:right w:val="single" w:color="auto" w:sz="4" w:space="0"/>
            </w:tcBorders>
            <w:noWrap/>
            <w:vAlign w:val="center"/>
          </w:tcPr>
          <w:p w14:paraId="190D641F">
            <w:pPr>
              <w:widowControl/>
              <w:jc w:val="center"/>
              <w:rPr>
                <w:rFonts w:hint="eastAsia" w:ascii="宋体" w:hAnsi="宋体" w:eastAsia="宋体" w:cs="宋体"/>
                <w:b/>
                <w:kern w:val="0"/>
                <w:sz w:val="24"/>
                <w:lang w:eastAsia="zh-CN"/>
              </w:rPr>
            </w:pPr>
            <w:r>
              <w:rPr>
                <w:rFonts w:hint="eastAsia" w:ascii="宋体" w:hAnsi="宋体" w:cs="宋体"/>
                <w:b/>
                <w:kern w:val="0"/>
                <w:sz w:val="24"/>
                <w:lang w:val="en-US" w:eastAsia="zh-CN"/>
              </w:rPr>
              <w:t>报  价</w:t>
            </w:r>
          </w:p>
        </w:tc>
      </w:tr>
      <w:tr w14:paraId="4633DB96">
        <w:tblPrEx>
          <w:tblCellMar>
            <w:top w:w="0" w:type="dxa"/>
            <w:left w:w="108" w:type="dxa"/>
            <w:bottom w:w="0" w:type="dxa"/>
            <w:right w:w="108" w:type="dxa"/>
          </w:tblCellMar>
        </w:tblPrEx>
        <w:trPr>
          <w:trHeight w:val="587" w:hRule="atLeast"/>
          <w:jc w:val="center"/>
        </w:trPr>
        <w:tc>
          <w:tcPr>
            <w:tcW w:w="2051" w:type="dxa"/>
            <w:tcBorders>
              <w:top w:val="nil"/>
              <w:left w:val="single" w:color="auto" w:sz="4" w:space="0"/>
              <w:bottom w:val="single" w:color="auto" w:sz="4" w:space="0"/>
              <w:right w:val="single" w:color="auto" w:sz="4" w:space="0"/>
            </w:tcBorders>
            <w:noWrap/>
            <w:vAlign w:val="center"/>
          </w:tcPr>
          <w:p w14:paraId="55A34FA6">
            <w:pPr>
              <w:widowControl/>
              <w:jc w:val="center"/>
              <w:rPr>
                <w:rFonts w:hint="default" w:ascii="宋体" w:hAnsi="宋体" w:eastAsia="宋体" w:cs="宋体"/>
                <w:b/>
                <w:bCs/>
                <w:kern w:val="0"/>
                <w:sz w:val="24"/>
                <w:lang w:val="en-US" w:eastAsia="zh-CN"/>
              </w:rPr>
            </w:pPr>
            <w:r>
              <w:rPr>
                <w:rFonts w:hint="eastAsia" w:ascii="宋体" w:hAnsi="宋体" w:eastAsia="宋体" w:cs="宋体"/>
                <w:b/>
                <w:bCs/>
                <w:kern w:val="0"/>
                <w:sz w:val="24"/>
                <w:lang w:val="en-US" w:eastAsia="zh-CN"/>
              </w:rPr>
              <w:t>报价项目</w:t>
            </w:r>
          </w:p>
        </w:tc>
        <w:tc>
          <w:tcPr>
            <w:tcW w:w="1903" w:type="dxa"/>
            <w:tcBorders>
              <w:top w:val="single" w:color="auto" w:sz="4" w:space="0"/>
              <w:left w:val="nil"/>
              <w:bottom w:val="single" w:color="auto" w:sz="4" w:space="0"/>
              <w:right w:val="single" w:color="auto" w:sz="4" w:space="0"/>
            </w:tcBorders>
            <w:noWrap/>
            <w:vAlign w:val="center"/>
          </w:tcPr>
          <w:p w14:paraId="6C171B1A">
            <w:pPr>
              <w:widowControl/>
              <w:jc w:val="center"/>
              <w:rPr>
                <w:rFonts w:hint="default" w:ascii="宋体" w:hAnsi="宋体" w:eastAsia="宋体" w:cs="宋体"/>
                <w:b/>
                <w:bCs/>
                <w:kern w:val="0"/>
                <w:sz w:val="24"/>
                <w:lang w:val="en-US" w:eastAsia="zh-CN"/>
              </w:rPr>
            </w:pPr>
            <w:r>
              <w:rPr>
                <w:rFonts w:hint="eastAsia" w:ascii="宋体" w:hAnsi="宋体" w:eastAsia="宋体" w:cs="宋体"/>
                <w:b/>
                <w:bCs/>
                <w:kern w:val="0"/>
                <w:sz w:val="24"/>
                <w:lang w:val="en-US" w:eastAsia="zh-CN"/>
              </w:rPr>
              <w:t>单价限价（元）</w:t>
            </w:r>
          </w:p>
        </w:tc>
        <w:tc>
          <w:tcPr>
            <w:tcW w:w="1293" w:type="dxa"/>
            <w:tcBorders>
              <w:top w:val="single" w:color="auto" w:sz="4" w:space="0"/>
              <w:left w:val="single" w:color="auto" w:sz="4" w:space="0"/>
              <w:bottom w:val="single" w:color="auto" w:sz="4" w:space="0"/>
              <w:right w:val="single" w:color="auto" w:sz="4" w:space="0"/>
            </w:tcBorders>
            <w:noWrap/>
            <w:vAlign w:val="center"/>
          </w:tcPr>
          <w:p w14:paraId="5A388012">
            <w:pPr>
              <w:widowControl/>
              <w:jc w:val="center"/>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规格型号</w:t>
            </w:r>
          </w:p>
        </w:tc>
        <w:tc>
          <w:tcPr>
            <w:tcW w:w="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73D574">
            <w:pPr>
              <w:widowControl/>
              <w:jc w:val="center"/>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lang w:val="en-US" w:eastAsia="zh-CN"/>
              </w:rPr>
              <w:t>数量</w:t>
            </w:r>
          </w:p>
        </w:tc>
        <w:tc>
          <w:tcPr>
            <w:tcW w:w="4283" w:type="dxa"/>
            <w:tcBorders>
              <w:top w:val="single" w:color="auto" w:sz="4" w:space="0"/>
              <w:left w:val="nil"/>
              <w:bottom w:val="single" w:color="auto" w:sz="4" w:space="0"/>
              <w:right w:val="single" w:color="auto" w:sz="4" w:space="0"/>
            </w:tcBorders>
            <w:noWrap/>
            <w:vAlign w:val="center"/>
          </w:tcPr>
          <w:p w14:paraId="5CD4091D">
            <w:pPr>
              <w:widowControl/>
              <w:jc w:val="center"/>
              <w:rPr>
                <w:rFonts w:hint="default"/>
                <w:b/>
                <w:bCs/>
                <w:color w:val="auto"/>
                <w:sz w:val="24"/>
                <w:szCs w:val="24"/>
                <w:highlight w:val="none"/>
                <w:lang w:val="en-US" w:eastAsia="zh-CN"/>
              </w:rPr>
            </w:pPr>
            <w:r>
              <w:rPr>
                <w:rFonts w:hint="eastAsia" w:ascii="宋体" w:hAnsi="宋体" w:eastAsia="宋体" w:cs="宋体"/>
                <w:b/>
                <w:bCs/>
                <w:kern w:val="0"/>
                <w:sz w:val="24"/>
                <w:lang w:val="en-US" w:eastAsia="zh-CN"/>
              </w:rPr>
              <w:t>单价报价（元）</w:t>
            </w:r>
          </w:p>
        </w:tc>
      </w:tr>
      <w:tr w14:paraId="19A001DD">
        <w:tblPrEx>
          <w:tblCellMar>
            <w:top w:w="0" w:type="dxa"/>
            <w:left w:w="108" w:type="dxa"/>
            <w:bottom w:w="0" w:type="dxa"/>
            <w:right w:w="108" w:type="dxa"/>
          </w:tblCellMar>
        </w:tblPrEx>
        <w:trPr>
          <w:trHeight w:val="1125" w:hRule="atLeast"/>
          <w:jc w:val="center"/>
        </w:trPr>
        <w:tc>
          <w:tcPr>
            <w:tcW w:w="2051" w:type="dxa"/>
            <w:tcBorders>
              <w:top w:val="nil"/>
              <w:left w:val="single" w:color="auto" w:sz="4" w:space="0"/>
              <w:bottom w:val="single" w:color="auto" w:sz="4" w:space="0"/>
              <w:right w:val="single" w:color="auto" w:sz="4" w:space="0"/>
            </w:tcBorders>
            <w:noWrap/>
            <w:vAlign w:val="center"/>
          </w:tcPr>
          <w:p w14:paraId="5FAF32B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eastAsia="宋体" w:cs="宋体"/>
                <w:b w:val="0"/>
                <w:bCs w:val="0"/>
                <w:kern w:val="0"/>
                <w:sz w:val="24"/>
                <w:lang w:val="en-US" w:eastAsia="zh-CN"/>
              </w:rPr>
            </w:pPr>
            <w:r>
              <w:rPr>
                <w:rFonts w:hint="eastAsia" w:ascii="宋体" w:hAnsi="宋体" w:cs="宋体"/>
                <w:b w:val="0"/>
                <w:bCs w:val="0"/>
                <w:kern w:val="0"/>
                <w:sz w:val="24"/>
                <w:lang w:val="en-US" w:eastAsia="zh-CN"/>
              </w:rPr>
              <w:t>氧化亚氮</w:t>
            </w:r>
            <w:r>
              <w:rPr>
                <w:rFonts w:hint="eastAsia" w:ascii="宋体" w:hAnsi="宋体" w:eastAsia="宋体" w:cs="宋体"/>
                <w:b w:val="0"/>
                <w:bCs w:val="0"/>
                <w:kern w:val="0"/>
                <w:sz w:val="24"/>
                <w:lang w:val="en-US" w:eastAsia="zh-CN"/>
              </w:rPr>
              <w:t>（笑气）</w:t>
            </w:r>
          </w:p>
        </w:tc>
        <w:tc>
          <w:tcPr>
            <w:tcW w:w="1903" w:type="dxa"/>
            <w:tcBorders>
              <w:top w:val="single" w:color="auto" w:sz="4" w:space="0"/>
              <w:left w:val="nil"/>
              <w:bottom w:val="single" w:color="auto" w:sz="4" w:space="0"/>
              <w:right w:val="single" w:color="auto" w:sz="4" w:space="0"/>
            </w:tcBorders>
            <w:noWrap/>
            <w:vAlign w:val="center"/>
          </w:tcPr>
          <w:p w14:paraId="574522BC">
            <w:pPr>
              <w:keepNext w:val="0"/>
              <w:keepLines w:val="0"/>
              <w:widowControl/>
              <w:suppressLineNumbers w:val="0"/>
              <w:jc w:val="center"/>
              <w:rPr>
                <w:rFonts w:hint="default" w:ascii="宋体" w:hAnsi="宋体" w:eastAsia="宋体" w:cs="宋体"/>
                <w:b w:val="0"/>
                <w:bCs w:val="0"/>
                <w:kern w:val="0"/>
                <w:sz w:val="24"/>
                <w:lang w:val="en-US" w:eastAsia="zh-CN"/>
              </w:rPr>
            </w:pPr>
            <w:r>
              <w:rPr>
                <w:rFonts w:hint="eastAsia" w:ascii="宋体" w:hAnsi="宋体" w:eastAsia="宋体" w:cs="宋体"/>
                <w:b w:val="0"/>
                <w:bCs w:val="0"/>
                <w:kern w:val="0"/>
                <w:sz w:val="24"/>
                <w:lang w:val="en-US" w:eastAsia="zh-CN"/>
              </w:rPr>
              <w:t>2</w:t>
            </w:r>
            <w:r>
              <w:rPr>
                <w:rFonts w:hint="eastAsia" w:ascii="宋体" w:hAnsi="宋体" w:cs="宋体"/>
                <w:b w:val="0"/>
                <w:bCs w:val="0"/>
                <w:kern w:val="0"/>
                <w:sz w:val="24"/>
                <w:lang w:val="en-US" w:eastAsia="zh-CN"/>
              </w:rPr>
              <w:t>20</w:t>
            </w:r>
            <w:r>
              <w:rPr>
                <w:rFonts w:hint="eastAsia" w:ascii="宋体" w:hAnsi="宋体" w:eastAsia="宋体" w:cs="宋体"/>
                <w:b w:val="0"/>
                <w:bCs w:val="0"/>
                <w:kern w:val="0"/>
                <w:sz w:val="24"/>
                <w:lang w:val="en-US" w:eastAsia="zh-CN"/>
              </w:rPr>
              <w:t>0</w:t>
            </w:r>
          </w:p>
        </w:tc>
        <w:tc>
          <w:tcPr>
            <w:tcW w:w="1293" w:type="dxa"/>
            <w:tcBorders>
              <w:top w:val="single" w:color="auto" w:sz="4" w:space="0"/>
              <w:left w:val="single" w:color="auto" w:sz="4" w:space="0"/>
              <w:bottom w:val="single" w:color="auto" w:sz="4" w:space="0"/>
              <w:right w:val="single" w:color="auto" w:sz="4" w:space="0"/>
            </w:tcBorders>
            <w:noWrap/>
            <w:vAlign w:val="center"/>
          </w:tcPr>
          <w:p w14:paraId="3ED76F25">
            <w:pPr>
              <w:keepNext w:val="0"/>
              <w:keepLines w:val="0"/>
              <w:widowControl/>
              <w:suppressLineNumbers w:val="0"/>
              <w:jc w:val="center"/>
              <w:rPr>
                <w:rFonts w:hint="default" w:ascii="宋体" w:hAnsi="宋体" w:eastAsia="宋体" w:cs="宋体"/>
                <w:b w:val="0"/>
                <w:bCs w:val="0"/>
                <w:kern w:val="0"/>
                <w:sz w:val="24"/>
                <w:lang w:val="en-US" w:eastAsia="zh-CN"/>
              </w:rPr>
            </w:pPr>
            <w:r>
              <w:rPr>
                <w:rFonts w:hint="eastAsia" w:ascii="宋体" w:hAnsi="宋体" w:cs="宋体"/>
                <w:b w:val="0"/>
                <w:bCs w:val="0"/>
                <w:kern w:val="0"/>
                <w:sz w:val="24"/>
                <w:lang w:val="en-US" w:eastAsia="zh-CN"/>
              </w:rPr>
              <w:t>40L</w:t>
            </w:r>
          </w:p>
        </w:tc>
        <w:tc>
          <w:tcPr>
            <w:tcW w:w="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65BAD5">
            <w:pPr>
              <w:keepNext w:val="0"/>
              <w:keepLines w:val="0"/>
              <w:widowControl/>
              <w:suppressLineNumbers w:val="0"/>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lang w:val="en-US" w:eastAsia="zh-CN"/>
              </w:rPr>
              <w:t>4瓶</w:t>
            </w:r>
          </w:p>
        </w:tc>
        <w:tc>
          <w:tcPr>
            <w:tcW w:w="4283" w:type="dxa"/>
            <w:tcBorders>
              <w:top w:val="single" w:color="auto" w:sz="4" w:space="0"/>
              <w:left w:val="nil"/>
              <w:bottom w:val="single" w:color="auto" w:sz="4" w:space="0"/>
              <w:right w:val="single" w:color="auto" w:sz="4" w:space="0"/>
            </w:tcBorders>
            <w:noWrap/>
            <w:vAlign w:val="center"/>
          </w:tcPr>
          <w:p w14:paraId="31C8B644">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宋体" w:hAnsi="宋体" w:eastAsia="宋体" w:cs="宋体"/>
                <w:b/>
                <w:bCs/>
                <w:kern w:val="0"/>
                <w:sz w:val="24"/>
                <w:lang w:val="en-US" w:eastAsia="zh-CN"/>
              </w:rPr>
            </w:pPr>
          </w:p>
        </w:tc>
      </w:tr>
    </w:tbl>
    <w:p w14:paraId="4324ABB1">
      <w:pPr>
        <w:widowControl/>
        <w:jc w:val="both"/>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注：</w:t>
      </w:r>
    </w:p>
    <w:p w14:paraId="627E3B0D">
      <w:pPr>
        <w:widowControl/>
        <w:jc w:val="both"/>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1.报价包含气体和气瓶的使用费及运输费。由中标人负责对所有气瓶进行维护，此费用已包含于报价中，采购人不再另行支付；</w:t>
      </w:r>
    </w:p>
    <w:p w14:paraId="5DAA7F1D">
      <w:pPr>
        <w:widowControl/>
        <w:numPr>
          <w:ilvl w:val="0"/>
          <w:numId w:val="3"/>
        </w:numPr>
        <w:ind w:leftChars="0"/>
        <w:jc w:val="both"/>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供应商需提供营业执照复印件（2）法人授权书（法人参加可不提供）及法人、被授权人身份证复印件（3）响应技术参数要求文件；</w:t>
      </w:r>
    </w:p>
    <w:p w14:paraId="5F243509">
      <w:pPr>
        <w:widowControl/>
        <w:numPr>
          <w:ilvl w:val="0"/>
          <w:numId w:val="3"/>
        </w:numPr>
        <w:ind w:leftChars="0"/>
        <w:jc w:val="both"/>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此表为供应商报价唯一依据</w:t>
      </w:r>
      <w:r>
        <w:rPr>
          <w:rFonts w:hint="eastAsia" w:ascii="仿宋" w:hAnsi="仿宋" w:eastAsia="仿宋" w:cs="仿宋"/>
          <w:b/>
          <w:bCs/>
          <w:kern w:val="0"/>
          <w:sz w:val="24"/>
          <w:lang w:val="en-US" w:eastAsia="zh-CN"/>
        </w:rPr>
        <w:t>，盖章并签字视为完全响应上述商务要求及技术参数要求。</w:t>
      </w:r>
      <w:r>
        <w:rPr>
          <w:rFonts w:hint="eastAsia" w:ascii="宋体" w:hAnsi="宋体" w:eastAsia="宋体" w:cs="宋体"/>
          <w:kern w:val="0"/>
          <w:sz w:val="24"/>
          <w:lang w:val="en-US" w:eastAsia="zh-CN"/>
        </w:rPr>
        <w:t xml:space="preserve"> </w:t>
      </w:r>
    </w:p>
    <w:p w14:paraId="56CFD722">
      <w:pPr>
        <w:widowControl/>
        <w:numPr>
          <w:ilvl w:val="0"/>
          <w:numId w:val="0"/>
        </w:numPr>
        <w:ind w:leftChars="0"/>
        <w:jc w:val="both"/>
        <w:rPr>
          <w:rFonts w:hint="default" w:ascii="仿宋" w:hAnsi="仿宋" w:eastAsia="仿宋" w:cs="仿宋"/>
          <w:kern w:val="0"/>
          <w:sz w:val="24"/>
          <w:lang w:val="en-US" w:eastAsia="zh-CN"/>
        </w:rPr>
      </w:pPr>
    </w:p>
    <w:p w14:paraId="24C3B5AA">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rPr>
        <w:t>报价单位（盖章）</w:t>
      </w:r>
      <w:r>
        <w:rPr>
          <w:rFonts w:hint="eastAsia" w:ascii="仿宋" w:hAnsi="仿宋" w:eastAsia="仿宋" w:cs="仿宋"/>
          <w:b w:val="0"/>
          <w:bCs w:val="0"/>
          <w:kern w:val="0"/>
          <w:sz w:val="24"/>
          <w:szCs w:val="24"/>
          <w:lang w:val="en-US" w:eastAsia="zh-CN"/>
        </w:rPr>
        <w:t>：</w:t>
      </w:r>
      <w:r>
        <w:rPr>
          <w:rFonts w:hint="eastAsia" w:ascii="仿宋" w:hAnsi="仿宋" w:eastAsia="仿宋" w:cs="仿宋"/>
          <w:b w:val="0"/>
          <w:bCs w:val="0"/>
          <w:sz w:val="24"/>
          <w:szCs w:val="24"/>
          <w:lang w:val="en-US" w:eastAsia="zh-CN"/>
        </w:rPr>
        <w:t xml:space="preserve"> </w:t>
      </w:r>
      <w:r>
        <w:rPr>
          <w:rFonts w:hint="eastAsia" w:ascii="仿宋" w:hAnsi="仿宋" w:eastAsia="仿宋" w:cs="仿宋"/>
          <w:sz w:val="24"/>
          <w:szCs w:val="24"/>
          <w:lang w:val="en-US" w:eastAsia="zh-CN"/>
        </w:rPr>
        <w:t xml:space="preserve">                          法定代表人（签章）：</w:t>
      </w:r>
    </w:p>
    <w:p w14:paraId="6156483F">
      <w:pPr>
        <w:pStyle w:val="4"/>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联系电话：</w:t>
      </w:r>
    </w:p>
    <w:p w14:paraId="068163B9">
      <w:pPr>
        <w:rPr>
          <w:rFonts w:hint="eastAsia"/>
          <w:lang w:val="en-US" w:eastAsia="zh-CN"/>
        </w:rPr>
      </w:pPr>
    </w:p>
    <w:p w14:paraId="42431316">
      <w:pPr>
        <w:pStyle w:val="4"/>
        <w:keepNext w:val="0"/>
        <w:keepLines w:val="0"/>
        <w:pageBreakBefore w:val="0"/>
        <w:kinsoku/>
        <w:wordWrap/>
        <w:overflowPunct/>
        <w:topLinePunct w:val="0"/>
        <w:autoSpaceDE/>
        <w:autoSpaceDN/>
        <w:bidi w:val="0"/>
        <w:adjustRightInd/>
        <w:snapToGrid/>
        <w:spacing w:line="400" w:lineRule="exact"/>
        <w:ind w:firstLine="6480" w:firstLineChars="2700"/>
        <w:textAlignment w:val="auto"/>
        <w:rPr>
          <w:rFonts w:hint="default" w:hAnsi="宋体" w:eastAsia="宋体"/>
          <w:color w:val="auto"/>
          <w:sz w:val="24"/>
          <w:szCs w:val="28"/>
          <w:lang w:val="en-US" w:eastAsia="zh-CN"/>
        </w:rPr>
      </w:pPr>
      <w:r>
        <w:rPr>
          <w:rFonts w:hint="eastAsia" w:ascii="仿宋" w:hAnsi="仿宋" w:eastAsia="仿宋" w:cs="仿宋"/>
          <w:sz w:val="24"/>
          <w:szCs w:val="24"/>
          <w:lang w:val="en-US" w:eastAsia="zh-CN"/>
        </w:rPr>
        <w:t xml:space="preserve"> 年   月    日</w:t>
      </w:r>
    </w:p>
    <w:sectPr>
      <w:headerReference r:id="rId3" w:type="default"/>
      <w:pgSz w:w="11907" w:h="16840"/>
      <w:pgMar w:top="1418" w:right="1134" w:bottom="1418" w:left="1134"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方正公文小标宋">
    <w:panose1 w:val="02000500000000000000"/>
    <w:charset w:val="86"/>
    <w:family w:val="auto"/>
    <w:pitch w:val="default"/>
    <w:sig w:usb0="A00002BF" w:usb1="38CF7CFA" w:usb2="00000016" w:usb3="00000000" w:csb0="00040001" w:csb1="00000000"/>
    <w:embedRegular r:id="rId1" w:fontKey="{33E449A9-4314-4893-A153-E07F93DB50CB}"/>
  </w:font>
  <w:font w:name="仿宋">
    <w:panose1 w:val="02010609060101010101"/>
    <w:charset w:val="86"/>
    <w:family w:val="modern"/>
    <w:pitch w:val="default"/>
    <w:sig w:usb0="800002BF" w:usb1="38CF7CFA" w:usb2="00000016" w:usb3="00000000" w:csb0="00040001" w:csb1="00000000"/>
    <w:embedRegular r:id="rId2" w:fontKey="{0C41D16E-3789-49D6-AE2A-0FA40E44599B}"/>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8595E">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F9DEE4"/>
    <w:multiLevelType w:val="singleLevel"/>
    <w:tmpl w:val="BEF9DEE4"/>
    <w:lvl w:ilvl="0" w:tentative="0">
      <w:start w:val="2"/>
      <w:numFmt w:val="decimal"/>
      <w:lvlText w:val="%1."/>
      <w:lvlJc w:val="left"/>
      <w:pPr>
        <w:tabs>
          <w:tab w:val="left" w:pos="312"/>
        </w:tabs>
      </w:pPr>
    </w:lvl>
  </w:abstractNum>
  <w:abstractNum w:abstractNumId="1">
    <w:nsid w:val="DE7A29E4"/>
    <w:multiLevelType w:val="singleLevel"/>
    <w:tmpl w:val="DE7A29E4"/>
    <w:lvl w:ilvl="0" w:tentative="0">
      <w:start w:val="1"/>
      <w:numFmt w:val="decimal"/>
      <w:lvlText w:val="%1."/>
      <w:lvlJc w:val="left"/>
      <w:pPr>
        <w:tabs>
          <w:tab w:val="left" w:pos="312"/>
        </w:tabs>
      </w:pPr>
    </w:lvl>
  </w:abstractNum>
  <w:abstractNum w:abstractNumId="2">
    <w:nsid w:val="EA23B37F"/>
    <w:multiLevelType w:val="singleLevel"/>
    <w:tmpl w:val="EA23B37F"/>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zYzE5MTdkNTIxYjcwN2VkZGRjMmI1YmMzNmQyNTEifQ=="/>
  </w:docVars>
  <w:rsids>
    <w:rsidRoot w:val="005828FA"/>
    <w:rsid w:val="00020686"/>
    <w:rsid w:val="00036024"/>
    <w:rsid w:val="000407CD"/>
    <w:rsid w:val="00044AB6"/>
    <w:rsid w:val="00046C7D"/>
    <w:rsid w:val="0005706A"/>
    <w:rsid w:val="0006556B"/>
    <w:rsid w:val="0007000E"/>
    <w:rsid w:val="00074864"/>
    <w:rsid w:val="00082573"/>
    <w:rsid w:val="00082A56"/>
    <w:rsid w:val="0008491B"/>
    <w:rsid w:val="0009713E"/>
    <w:rsid w:val="000A43E0"/>
    <w:rsid w:val="000B23DC"/>
    <w:rsid w:val="000C1DD6"/>
    <w:rsid w:val="000C322B"/>
    <w:rsid w:val="000C3A8F"/>
    <w:rsid w:val="000C7F08"/>
    <w:rsid w:val="000D0148"/>
    <w:rsid w:val="000D187F"/>
    <w:rsid w:val="000D695E"/>
    <w:rsid w:val="000D6A8C"/>
    <w:rsid w:val="000E3F8F"/>
    <w:rsid w:val="000E7D83"/>
    <w:rsid w:val="000F0396"/>
    <w:rsid w:val="000F3464"/>
    <w:rsid w:val="00111644"/>
    <w:rsid w:val="00117B62"/>
    <w:rsid w:val="001403EB"/>
    <w:rsid w:val="0014250F"/>
    <w:rsid w:val="001675C3"/>
    <w:rsid w:val="00170E83"/>
    <w:rsid w:val="00174D14"/>
    <w:rsid w:val="0018752A"/>
    <w:rsid w:val="00193132"/>
    <w:rsid w:val="00196787"/>
    <w:rsid w:val="001A3895"/>
    <w:rsid w:val="001B38C2"/>
    <w:rsid w:val="001B5DE7"/>
    <w:rsid w:val="001C44EE"/>
    <w:rsid w:val="001C454E"/>
    <w:rsid w:val="001C6B22"/>
    <w:rsid w:val="001C7A81"/>
    <w:rsid w:val="001D7FB8"/>
    <w:rsid w:val="001E61C2"/>
    <w:rsid w:val="001F17E9"/>
    <w:rsid w:val="001F26FC"/>
    <w:rsid w:val="001F6FFC"/>
    <w:rsid w:val="002040A4"/>
    <w:rsid w:val="00210AB3"/>
    <w:rsid w:val="00222C8C"/>
    <w:rsid w:val="002231A3"/>
    <w:rsid w:val="00224D5F"/>
    <w:rsid w:val="002333E3"/>
    <w:rsid w:val="00233A44"/>
    <w:rsid w:val="002431E0"/>
    <w:rsid w:val="00250605"/>
    <w:rsid w:val="002738AC"/>
    <w:rsid w:val="0027500D"/>
    <w:rsid w:val="002806AD"/>
    <w:rsid w:val="00280707"/>
    <w:rsid w:val="00291587"/>
    <w:rsid w:val="00293503"/>
    <w:rsid w:val="002937A0"/>
    <w:rsid w:val="002A7BA5"/>
    <w:rsid w:val="002B1DCB"/>
    <w:rsid w:val="002E5B79"/>
    <w:rsid w:val="002F099D"/>
    <w:rsid w:val="002F35DC"/>
    <w:rsid w:val="002F3E5D"/>
    <w:rsid w:val="002F7370"/>
    <w:rsid w:val="00300733"/>
    <w:rsid w:val="0030234E"/>
    <w:rsid w:val="00327551"/>
    <w:rsid w:val="00332236"/>
    <w:rsid w:val="003544F5"/>
    <w:rsid w:val="0036611E"/>
    <w:rsid w:val="0036623A"/>
    <w:rsid w:val="00395053"/>
    <w:rsid w:val="0039709F"/>
    <w:rsid w:val="003A41DF"/>
    <w:rsid w:val="003A5523"/>
    <w:rsid w:val="003B0DE0"/>
    <w:rsid w:val="003C0BBB"/>
    <w:rsid w:val="003C1539"/>
    <w:rsid w:val="003C2AEB"/>
    <w:rsid w:val="003C3A9F"/>
    <w:rsid w:val="003C79D1"/>
    <w:rsid w:val="003D009F"/>
    <w:rsid w:val="003D2709"/>
    <w:rsid w:val="003E311D"/>
    <w:rsid w:val="003E3498"/>
    <w:rsid w:val="003E3B74"/>
    <w:rsid w:val="003E49A3"/>
    <w:rsid w:val="003E677C"/>
    <w:rsid w:val="003F3770"/>
    <w:rsid w:val="003F7ECB"/>
    <w:rsid w:val="00404545"/>
    <w:rsid w:val="0041794F"/>
    <w:rsid w:val="00424325"/>
    <w:rsid w:val="00427A6A"/>
    <w:rsid w:val="00434682"/>
    <w:rsid w:val="004407BD"/>
    <w:rsid w:val="004443B0"/>
    <w:rsid w:val="004466D3"/>
    <w:rsid w:val="00454792"/>
    <w:rsid w:val="00455394"/>
    <w:rsid w:val="0045561A"/>
    <w:rsid w:val="00470DBB"/>
    <w:rsid w:val="0048071E"/>
    <w:rsid w:val="00482508"/>
    <w:rsid w:val="00485B83"/>
    <w:rsid w:val="00490663"/>
    <w:rsid w:val="00493DED"/>
    <w:rsid w:val="0049444D"/>
    <w:rsid w:val="00497FD4"/>
    <w:rsid w:val="004B35AE"/>
    <w:rsid w:val="004B7CD9"/>
    <w:rsid w:val="004C1528"/>
    <w:rsid w:val="004C5189"/>
    <w:rsid w:val="004E0556"/>
    <w:rsid w:val="005114CE"/>
    <w:rsid w:val="00512B70"/>
    <w:rsid w:val="00517D45"/>
    <w:rsid w:val="0052014A"/>
    <w:rsid w:val="00543255"/>
    <w:rsid w:val="00555FAF"/>
    <w:rsid w:val="00577CF7"/>
    <w:rsid w:val="005828FA"/>
    <w:rsid w:val="005864FC"/>
    <w:rsid w:val="005939FA"/>
    <w:rsid w:val="005A3E53"/>
    <w:rsid w:val="005B1B93"/>
    <w:rsid w:val="005B3B6A"/>
    <w:rsid w:val="005B6077"/>
    <w:rsid w:val="005C46F6"/>
    <w:rsid w:val="005C67E2"/>
    <w:rsid w:val="005D4635"/>
    <w:rsid w:val="005E55A4"/>
    <w:rsid w:val="005E5737"/>
    <w:rsid w:val="00600F51"/>
    <w:rsid w:val="006045EB"/>
    <w:rsid w:val="00605D53"/>
    <w:rsid w:val="00611091"/>
    <w:rsid w:val="006117A3"/>
    <w:rsid w:val="006130AF"/>
    <w:rsid w:val="006302A5"/>
    <w:rsid w:val="00630DEA"/>
    <w:rsid w:val="00631B03"/>
    <w:rsid w:val="00633E5E"/>
    <w:rsid w:val="006520BB"/>
    <w:rsid w:val="00654192"/>
    <w:rsid w:val="0066066A"/>
    <w:rsid w:val="00670080"/>
    <w:rsid w:val="00680653"/>
    <w:rsid w:val="00681D12"/>
    <w:rsid w:val="006A20A6"/>
    <w:rsid w:val="006B0B48"/>
    <w:rsid w:val="006B4180"/>
    <w:rsid w:val="006C7BB0"/>
    <w:rsid w:val="006D4449"/>
    <w:rsid w:val="006D4C00"/>
    <w:rsid w:val="006D5192"/>
    <w:rsid w:val="006D53B5"/>
    <w:rsid w:val="006E2278"/>
    <w:rsid w:val="006F6078"/>
    <w:rsid w:val="007115AF"/>
    <w:rsid w:val="007407C8"/>
    <w:rsid w:val="007536F5"/>
    <w:rsid w:val="0075421B"/>
    <w:rsid w:val="00756FC6"/>
    <w:rsid w:val="00765C28"/>
    <w:rsid w:val="0077075D"/>
    <w:rsid w:val="0078707E"/>
    <w:rsid w:val="00796EB6"/>
    <w:rsid w:val="007A1F48"/>
    <w:rsid w:val="007A777B"/>
    <w:rsid w:val="007B4749"/>
    <w:rsid w:val="007B559A"/>
    <w:rsid w:val="007B74BD"/>
    <w:rsid w:val="007C4871"/>
    <w:rsid w:val="007D29BC"/>
    <w:rsid w:val="007E373B"/>
    <w:rsid w:val="0080000C"/>
    <w:rsid w:val="008224CD"/>
    <w:rsid w:val="00834B84"/>
    <w:rsid w:val="008447E3"/>
    <w:rsid w:val="008616C4"/>
    <w:rsid w:val="00886EAF"/>
    <w:rsid w:val="00887446"/>
    <w:rsid w:val="00891D59"/>
    <w:rsid w:val="00891DD3"/>
    <w:rsid w:val="0089599B"/>
    <w:rsid w:val="00896675"/>
    <w:rsid w:val="008A32FB"/>
    <w:rsid w:val="008B70EA"/>
    <w:rsid w:val="008C1E0F"/>
    <w:rsid w:val="008C5C9D"/>
    <w:rsid w:val="008C7837"/>
    <w:rsid w:val="008D5236"/>
    <w:rsid w:val="008E6FD9"/>
    <w:rsid w:val="008F35F7"/>
    <w:rsid w:val="008F4152"/>
    <w:rsid w:val="008F4DD0"/>
    <w:rsid w:val="00901D02"/>
    <w:rsid w:val="00912CC4"/>
    <w:rsid w:val="00916142"/>
    <w:rsid w:val="00920CF9"/>
    <w:rsid w:val="0092153C"/>
    <w:rsid w:val="009218B5"/>
    <w:rsid w:val="009258CC"/>
    <w:rsid w:val="00926B12"/>
    <w:rsid w:val="00936AF6"/>
    <w:rsid w:val="00940304"/>
    <w:rsid w:val="0095668B"/>
    <w:rsid w:val="009603BC"/>
    <w:rsid w:val="00977C69"/>
    <w:rsid w:val="009870FF"/>
    <w:rsid w:val="00995DD5"/>
    <w:rsid w:val="009B0992"/>
    <w:rsid w:val="009C11BA"/>
    <w:rsid w:val="009C630B"/>
    <w:rsid w:val="009C7954"/>
    <w:rsid w:val="00A0663F"/>
    <w:rsid w:val="00A07D03"/>
    <w:rsid w:val="00A11A3A"/>
    <w:rsid w:val="00A17086"/>
    <w:rsid w:val="00A21CA3"/>
    <w:rsid w:val="00A2612B"/>
    <w:rsid w:val="00A30494"/>
    <w:rsid w:val="00A40F4A"/>
    <w:rsid w:val="00A43FE6"/>
    <w:rsid w:val="00A72451"/>
    <w:rsid w:val="00A72627"/>
    <w:rsid w:val="00A8239F"/>
    <w:rsid w:val="00A860FA"/>
    <w:rsid w:val="00AA285E"/>
    <w:rsid w:val="00AA2D8B"/>
    <w:rsid w:val="00AB2ADA"/>
    <w:rsid w:val="00AB2E76"/>
    <w:rsid w:val="00AB6D53"/>
    <w:rsid w:val="00AC04D4"/>
    <w:rsid w:val="00AC76E0"/>
    <w:rsid w:val="00AE0EB0"/>
    <w:rsid w:val="00AE4CF6"/>
    <w:rsid w:val="00B00899"/>
    <w:rsid w:val="00B010FC"/>
    <w:rsid w:val="00B02002"/>
    <w:rsid w:val="00B06C20"/>
    <w:rsid w:val="00B12F8C"/>
    <w:rsid w:val="00B2264E"/>
    <w:rsid w:val="00B436CD"/>
    <w:rsid w:val="00B448D8"/>
    <w:rsid w:val="00B4528D"/>
    <w:rsid w:val="00B4573A"/>
    <w:rsid w:val="00B52A3F"/>
    <w:rsid w:val="00B535EA"/>
    <w:rsid w:val="00B54D95"/>
    <w:rsid w:val="00B5653B"/>
    <w:rsid w:val="00B64FC6"/>
    <w:rsid w:val="00B750A5"/>
    <w:rsid w:val="00B75B42"/>
    <w:rsid w:val="00B76B22"/>
    <w:rsid w:val="00B80541"/>
    <w:rsid w:val="00B85E9F"/>
    <w:rsid w:val="00B90FE1"/>
    <w:rsid w:val="00BA77D5"/>
    <w:rsid w:val="00BB3C1F"/>
    <w:rsid w:val="00BC56DF"/>
    <w:rsid w:val="00BC6AF1"/>
    <w:rsid w:val="00BD00B3"/>
    <w:rsid w:val="00BD54AF"/>
    <w:rsid w:val="00BD560F"/>
    <w:rsid w:val="00BF4B96"/>
    <w:rsid w:val="00BF7EBB"/>
    <w:rsid w:val="00C07064"/>
    <w:rsid w:val="00C07D5C"/>
    <w:rsid w:val="00C15EEE"/>
    <w:rsid w:val="00C16E64"/>
    <w:rsid w:val="00C309E8"/>
    <w:rsid w:val="00C44206"/>
    <w:rsid w:val="00C52593"/>
    <w:rsid w:val="00C64DDE"/>
    <w:rsid w:val="00C70869"/>
    <w:rsid w:val="00C7343F"/>
    <w:rsid w:val="00C755D2"/>
    <w:rsid w:val="00C75BE4"/>
    <w:rsid w:val="00C82BCA"/>
    <w:rsid w:val="00C95F36"/>
    <w:rsid w:val="00C9659D"/>
    <w:rsid w:val="00CA5F59"/>
    <w:rsid w:val="00CD7203"/>
    <w:rsid w:val="00CD7429"/>
    <w:rsid w:val="00CF6FEB"/>
    <w:rsid w:val="00D03000"/>
    <w:rsid w:val="00D05A6C"/>
    <w:rsid w:val="00D23CAF"/>
    <w:rsid w:val="00D438BE"/>
    <w:rsid w:val="00D45F39"/>
    <w:rsid w:val="00D57626"/>
    <w:rsid w:val="00D70042"/>
    <w:rsid w:val="00D701D5"/>
    <w:rsid w:val="00D94F95"/>
    <w:rsid w:val="00D95EA7"/>
    <w:rsid w:val="00DA2162"/>
    <w:rsid w:val="00DB07A7"/>
    <w:rsid w:val="00DB4495"/>
    <w:rsid w:val="00DC186A"/>
    <w:rsid w:val="00DC1B1D"/>
    <w:rsid w:val="00DC4DF2"/>
    <w:rsid w:val="00DC6020"/>
    <w:rsid w:val="00DD27FA"/>
    <w:rsid w:val="00DD3B90"/>
    <w:rsid w:val="00DF2CA1"/>
    <w:rsid w:val="00E06768"/>
    <w:rsid w:val="00E143C4"/>
    <w:rsid w:val="00E146BD"/>
    <w:rsid w:val="00E278C5"/>
    <w:rsid w:val="00E35E45"/>
    <w:rsid w:val="00E36B40"/>
    <w:rsid w:val="00E46F97"/>
    <w:rsid w:val="00E60CC4"/>
    <w:rsid w:val="00E66E43"/>
    <w:rsid w:val="00E73D91"/>
    <w:rsid w:val="00E80F1E"/>
    <w:rsid w:val="00E854EE"/>
    <w:rsid w:val="00E93B2B"/>
    <w:rsid w:val="00EA43A8"/>
    <w:rsid w:val="00EB1033"/>
    <w:rsid w:val="00EB1069"/>
    <w:rsid w:val="00EC4FAA"/>
    <w:rsid w:val="00EC5D73"/>
    <w:rsid w:val="00ED05E2"/>
    <w:rsid w:val="00ED3B15"/>
    <w:rsid w:val="00ED7581"/>
    <w:rsid w:val="00EE0459"/>
    <w:rsid w:val="00EE4247"/>
    <w:rsid w:val="00EE49B0"/>
    <w:rsid w:val="00EF3A88"/>
    <w:rsid w:val="00F1141C"/>
    <w:rsid w:val="00F17F35"/>
    <w:rsid w:val="00F219A0"/>
    <w:rsid w:val="00F2454E"/>
    <w:rsid w:val="00F30560"/>
    <w:rsid w:val="00F34C26"/>
    <w:rsid w:val="00F5777A"/>
    <w:rsid w:val="00F622B2"/>
    <w:rsid w:val="00F66C21"/>
    <w:rsid w:val="00F70D89"/>
    <w:rsid w:val="00F97D5B"/>
    <w:rsid w:val="00FA4762"/>
    <w:rsid w:val="00FB1065"/>
    <w:rsid w:val="00FB6573"/>
    <w:rsid w:val="00FD6BB8"/>
    <w:rsid w:val="00FD79DC"/>
    <w:rsid w:val="00FE0FCF"/>
    <w:rsid w:val="00FE473B"/>
    <w:rsid w:val="00FE66A3"/>
    <w:rsid w:val="00FF714D"/>
    <w:rsid w:val="025F054E"/>
    <w:rsid w:val="02F97FB6"/>
    <w:rsid w:val="03911C19"/>
    <w:rsid w:val="03F91A4A"/>
    <w:rsid w:val="042E6E68"/>
    <w:rsid w:val="04C10FDF"/>
    <w:rsid w:val="05875A5E"/>
    <w:rsid w:val="05FA619B"/>
    <w:rsid w:val="07654311"/>
    <w:rsid w:val="0AC25353"/>
    <w:rsid w:val="0B035181"/>
    <w:rsid w:val="0C9836DA"/>
    <w:rsid w:val="0D8B0C57"/>
    <w:rsid w:val="0ED767BD"/>
    <w:rsid w:val="0FD816E9"/>
    <w:rsid w:val="12614426"/>
    <w:rsid w:val="12756E3C"/>
    <w:rsid w:val="13BF7180"/>
    <w:rsid w:val="19255566"/>
    <w:rsid w:val="196842EC"/>
    <w:rsid w:val="199944A6"/>
    <w:rsid w:val="19B0046B"/>
    <w:rsid w:val="19C92FDD"/>
    <w:rsid w:val="1BAB4AC5"/>
    <w:rsid w:val="1BFE3CF2"/>
    <w:rsid w:val="1ED70C26"/>
    <w:rsid w:val="219A46BB"/>
    <w:rsid w:val="220717BC"/>
    <w:rsid w:val="222B0896"/>
    <w:rsid w:val="234B453D"/>
    <w:rsid w:val="257540DF"/>
    <w:rsid w:val="25CF1237"/>
    <w:rsid w:val="27200E64"/>
    <w:rsid w:val="27F25A6D"/>
    <w:rsid w:val="297E257B"/>
    <w:rsid w:val="2A4C2180"/>
    <w:rsid w:val="2AE90244"/>
    <w:rsid w:val="2DA63C6C"/>
    <w:rsid w:val="2DB82E1A"/>
    <w:rsid w:val="2EBA5386"/>
    <w:rsid w:val="2F9C6646"/>
    <w:rsid w:val="2FAC733E"/>
    <w:rsid w:val="302A54B9"/>
    <w:rsid w:val="32683A06"/>
    <w:rsid w:val="32E93950"/>
    <w:rsid w:val="3408137A"/>
    <w:rsid w:val="34B35591"/>
    <w:rsid w:val="34C111D0"/>
    <w:rsid w:val="34CF5F34"/>
    <w:rsid w:val="34DB7000"/>
    <w:rsid w:val="35A973C7"/>
    <w:rsid w:val="37F67AE6"/>
    <w:rsid w:val="39E404E1"/>
    <w:rsid w:val="3A6366DE"/>
    <w:rsid w:val="3A6E45C0"/>
    <w:rsid w:val="3AD3172E"/>
    <w:rsid w:val="3B2A1E90"/>
    <w:rsid w:val="3B4B4B32"/>
    <w:rsid w:val="3B522F61"/>
    <w:rsid w:val="3BD73AAD"/>
    <w:rsid w:val="3C2F6FF9"/>
    <w:rsid w:val="3CD0178D"/>
    <w:rsid w:val="3CF944AB"/>
    <w:rsid w:val="3CFF6C43"/>
    <w:rsid w:val="3D632551"/>
    <w:rsid w:val="3DC46E17"/>
    <w:rsid w:val="40A323D5"/>
    <w:rsid w:val="410B6180"/>
    <w:rsid w:val="41BE29FE"/>
    <w:rsid w:val="41F357FD"/>
    <w:rsid w:val="43DE2B83"/>
    <w:rsid w:val="44C5478E"/>
    <w:rsid w:val="45672C50"/>
    <w:rsid w:val="45F408CE"/>
    <w:rsid w:val="49344847"/>
    <w:rsid w:val="4B9772FD"/>
    <w:rsid w:val="4DC1754C"/>
    <w:rsid w:val="4DD46385"/>
    <w:rsid w:val="4DF47921"/>
    <w:rsid w:val="4E2D34DF"/>
    <w:rsid w:val="4EE65A0A"/>
    <w:rsid w:val="4F934F18"/>
    <w:rsid w:val="4F984F64"/>
    <w:rsid w:val="4FA140D4"/>
    <w:rsid w:val="4FF84D7B"/>
    <w:rsid w:val="509E7259"/>
    <w:rsid w:val="539D45B7"/>
    <w:rsid w:val="54D1490F"/>
    <w:rsid w:val="54F53CEF"/>
    <w:rsid w:val="55B57B9C"/>
    <w:rsid w:val="56075D18"/>
    <w:rsid w:val="560E354A"/>
    <w:rsid w:val="57445C6A"/>
    <w:rsid w:val="593B4656"/>
    <w:rsid w:val="5A557493"/>
    <w:rsid w:val="5BC354BB"/>
    <w:rsid w:val="5E68291E"/>
    <w:rsid w:val="5F811F17"/>
    <w:rsid w:val="610D3627"/>
    <w:rsid w:val="615170B4"/>
    <w:rsid w:val="629C0F17"/>
    <w:rsid w:val="64460353"/>
    <w:rsid w:val="64AA653E"/>
    <w:rsid w:val="66D62DF1"/>
    <w:rsid w:val="66F92CDB"/>
    <w:rsid w:val="69EC4FCA"/>
    <w:rsid w:val="6A1313FF"/>
    <w:rsid w:val="6B63041A"/>
    <w:rsid w:val="6DBB1CD8"/>
    <w:rsid w:val="6E7973B3"/>
    <w:rsid w:val="73781BAB"/>
    <w:rsid w:val="73B662BA"/>
    <w:rsid w:val="73E84F83"/>
    <w:rsid w:val="754A2C12"/>
    <w:rsid w:val="759A22AD"/>
    <w:rsid w:val="772E7E67"/>
    <w:rsid w:val="7AA53BCD"/>
    <w:rsid w:val="7B5A51E9"/>
    <w:rsid w:val="7C2D33D0"/>
    <w:rsid w:val="7CD67ABD"/>
    <w:rsid w:val="7CE843FF"/>
    <w:rsid w:val="7D5C1C75"/>
    <w:rsid w:val="7DC577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style>
  <w:style w:type="paragraph" w:styleId="4">
    <w:name w:val="Body Text"/>
    <w:basedOn w:val="1"/>
    <w:next w:val="1"/>
    <w:qFormat/>
    <w:uiPriority w:val="99"/>
    <w:pPr>
      <w:spacing w:after="120"/>
    </w:pPr>
  </w:style>
  <w:style w:type="paragraph" w:styleId="5">
    <w:name w:val="Date"/>
    <w:basedOn w:val="1"/>
    <w:next w:val="1"/>
    <w:qFormat/>
    <w:uiPriority w:val="0"/>
    <w:pPr>
      <w:ind w:left="100" w:leftChars="2500"/>
    </w:pPr>
    <w:rPr>
      <w:rFonts w:ascii="华文仿宋" w:hAnsi="华文仿宋" w:eastAsia="华文仿宋"/>
      <w:b/>
      <w:bCs/>
      <w:sz w:val="24"/>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10">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1">
    <w:name w:val="Body Text First Indent"/>
    <w:basedOn w:val="4"/>
    <w:qFormat/>
    <w:uiPriority w:val="0"/>
    <w:pPr>
      <w:ind w:firstLine="420" w:firstLineChars="100"/>
    </w:pPr>
    <w:rPr>
      <w:rFonts w:ascii="Times New Roman" w:hAnsi="Times New Roman" w:eastAsia="宋体" w:cs="Times New Roman"/>
      <w:szCs w:val="21"/>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paragraph" w:customStyle="1" w:styleId="17">
    <w:name w:val="正文文本首行缩进1"/>
    <w:basedOn w:val="4"/>
    <w:qFormat/>
    <w:uiPriority w:val="0"/>
    <w:pPr>
      <w:spacing w:line="360" w:lineRule="auto"/>
      <w:ind w:left="30" w:leftChars="30" w:firstLine="420" w:firstLineChars="100"/>
    </w:pPr>
    <w:rPr>
      <w:rFonts w:ascii="宋体" w:hAnsi="宋体"/>
      <w:sz w:val="24"/>
      <w:szCs w:val="18"/>
    </w:rPr>
  </w:style>
  <w:style w:type="paragraph" w:customStyle="1" w:styleId="18">
    <w:name w:val="正文首行缩进两字符"/>
    <w:basedOn w:val="1"/>
    <w:qFormat/>
    <w:uiPriority w:val="0"/>
    <w:pPr>
      <w:spacing w:line="360" w:lineRule="auto"/>
      <w:ind w:firstLine="200" w:firstLineChars="200"/>
    </w:pPr>
  </w:style>
  <w:style w:type="character" w:customStyle="1" w:styleId="19">
    <w:name w:val="font71"/>
    <w:basedOn w:val="14"/>
    <w:qFormat/>
    <w:uiPriority w:val="0"/>
    <w:rPr>
      <w:rFonts w:hint="eastAsia" w:ascii="宋体" w:hAnsi="宋体" w:eastAsia="宋体" w:cs="宋体"/>
      <w:color w:val="000000"/>
      <w:sz w:val="22"/>
      <w:szCs w:val="22"/>
      <w:u w:val="none"/>
    </w:rPr>
  </w:style>
  <w:style w:type="character" w:customStyle="1" w:styleId="20">
    <w:name w:val="font31"/>
    <w:basedOn w:val="14"/>
    <w:qFormat/>
    <w:uiPriority w:val="0"/>
    <w:rPr>
      <w:rFonts w:hint="eastAsia" w:ascii="宋体" w:hAnsi="宋体" w:eastAsia="宋体" w:cs="宋体"/>
      <w:color w:val="000000"/>
      <w:sz w:val="22"/>
      <w:szCs w:val="22"/>
      <w:u w:val="none"/>
    </w:rPr>
  </w:style>
  <w:style w:type="character" w:customStyle="1" w:styleId="21">
    <w:name w:val="font61"/>
    <w:basedOn w:val="1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Legend (Beijing) Limited</Company>
  <Pages>1</Pages>
  <Words>706</Words>
  <Characters>726</Characters>
  <Lines>58</Lines>
  <Paragraphs>16</Paragraphs>
  <TotalTime>4</TotalTime>
  <ScaleCrop>false</ScaleCrop>
  <LinksUpToDate>false</LinksUpToDate>
  <CharactersWithSpaces>810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2023-02-28T13:01:00Z</dcterms:created>
  <dc:creator>zxy</dc:creator>
  <cp:lastModifiedBy>东方既白</cp:lastModifiedBy>
  <cp:lastPrinted>2023-03-07T04:12:00Z</cp:lastPrinted>
  <dcterms:modified xsi:type="dcterms:W3CDTF">2025-11-24T07:12:46Z</dcterms:modified>
  <dc:title>泸州医学院部门请示或报告      编号：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4A0BE561C1F34C04B51EDAAA00923F66_13</vt:lpwstr>
  </property>
  <property fmtid="{D5CDD505-2E9C-101B-9397-08002B2CF9AE}" pid="4" name="KSOTemplateDocerSaveRecord">
    <vt:lpwstr>eyJoZGlkIjoiZTk1Y2ExNjhiMTBhN2E4YmNiNDcwOThhMTk2MzM5OTIiLCJ1c2VySWQiOiIyNDE1NDc5NzMifQ==</vt:lpwstr>
  </property>
</Properties>
</file>