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609C9">
      <w:pPr>
        <w:spacing w:line="420" w:lineRule="exact"/>
        <w:jc w:val="center"/>
        <w:rPr>
          <w:rFonts w:hint="eastAsia" w:ascii="方正公文小标宋" w:hAnsi="方正公文小标宋" w:eastAsia="方正公文小标宋" w:cs="方正公文小标宋"/>
          <w:b w:val="0"/>
          <w:bCs/>
          <w:kern w:val="0"/>
          <w:sz w:val="24"/>
          <w:lang w:val="en-US" w:eastAsia="zh-CN"/>
        </w:rPr>
      </w:pPr>
      <w:r>
        <w:rPr>
          <w:rFonts w:hint="eastAsia" w:ascii="方正公文小标宋" w:hAnsi="方正公文小标宋" w:eastAsia="方正公文小标宋" w:cs="方正公文小标宋"/>
          <w:b w:val="0"/>
          <w:bCs/>
          <w:sz w:val="32"/>
          <w:szCs w:val="32"/>
        </w:rPr>
        <w:t>西南医科大学附属口腔医院</w:t>
      </w:r>
      <w:r>
        <w:rPr>
          <w:rFonts w:hint="eastAsia" w:ascii="方正公文小标宋" w:hAnsi="方正公文小标宋" w:eastAsia="方正公文小标宋" w:cs="方正公文小标宋"/>
          <w:b w:val="0"/>
          <w:bCs/>
          <w:sz w:val="32"/>
          <w:szCs w:val="32"/>
          <w:lang w:val="en-US" w:eastAsia="zh-CN"/>
        </w:rPr>
        <w:t>询价采购报价单</w:t>
      </w:r>
    </w:p>
    <w:tbl>
      <w:tblPr>
        <w:tblStyle w:val="4"/>
        <w:tblpPr w:leftFromText="180" w:rightFromText="180" w:vertAnchor="text" w:horzAnchor="page" w:tblpXSpec="center" w:tblpY="213"/>
        <w:tblOverlap w:val="never"/>
        <w:tblW w:w="10436" w:type="dxa"/>
        <w:jc w:val="center"/>
        <w:tblLayout w:type="fixed"/>
        <w:tblCellMar>
          <w:top w:w="0" w:type="dxa"/>
          <w:left w:w="108" w:type="dxa"/>
          <w:bottom w:w="0" w:type="dxa"/>
          <w:right w:w="108" w:type="dxa"/>
        </w:tblCellMar>
      </w:tblPr>
      <w:tblGrid>
        <w:gridCol w:w="2051"/>
        <w:gridCol w:w="1903"/>
        <w:gridCol w:w="1293"/>
        <w:gridCol w:w="906"/>
        <w:gridCol w:w="4283"/>
      </w:tblGrid>
      <w:tr w14:paraId="76ADC902">
        <w:tblPrEx>
          <w:tblCellMar>
            <w:top w:w="0" w:type="dxa"/>
            <w:left w:w="108" w:type="dxa"/>
            <w:bottom w:w="0" w:type="dxa"/>
            <w:right w:w="108" w:type="dxa"/>
          </w:tblCellMar>
        </w:tblPrEx>
        <w:trPr>
          <w:trHeight w:val="564" w:hRule="atLeast"/>
          <w:jc w:val="center"/>
        </w:trPr>
        <w:tc>
          <w:tcPr>
            <w:tcW w:w="2051" w:type="dxa"/>
            <w:tcBorders>
              <w:top w:val="single" w:color="auto" w:sz="4" w:space="0"/>
              <w:left w:val="single" w:color="auto" w:sz="4" w:space="0"/>
              <w:bottom w:val="single" w:color="auto" w:sz="4" w:space="0"/>
              <w:right w:val="single" w:color="auto" w:sz="4" w:space="0"/>
            </w:tcBorders>
            <w:noWrap/>
            <w:vAlign w:val="center"/>
          </w:tcPr>
          <w:p w14:paraId="19E16785">
            <w:pPr>
              <w:widowControl/>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项目名称</w:t>
            </w:r>
          </w:p>
        </w:tc>
        <w:tc>
          <w:tcPr>
            <w:tcW w:w="8385" w:type="dxa"/>
            <w:gridSpan w:val="4"/>
            <w:tcBorders>
              <w:top w:val="single" w:color="auto" w:sz="4" w:space="0"/>
              <w:left w:val="nil"/>
              <w:bottom w:val="single" w:color="auto" w:sz="4" w:space="0"/>
              <w:right w:val="single" w:color="auto" w:sz="4" w:space="0"/>
            </w:tcBorders>
            <w:noWrap/>
            <w:vAlign w:val="center"/>
          </w:tcPr>
          <w:p w14:paraId="05F429B2">
            <w:pPr>
              <w:spacing w:line="240" w:lineRule="auto"/>
              <w:ind w:right="0" w:rightChars="0"/>
              <w:jc w:val="both"/>
              <w:rPr>
                <w:rFonts w:hint="default" w:ascii="仿宋" w:hAnsi="仿宋" w:eastAsia="仿宋" w:cs="仿宋"/>
                <w:kern w:val="0"/>
                <w:sz w:val="24"/>
                <w:lang w:val="en-US" w:eastAsia="zh-CN"/>
              </w:rPr>
            </w:pPr>
            <w:r>
              <w:rPr>
                <w:rFonts w:hint="eastAsia" w:asciiTheme="minorEastAsia" w:hAnsiTheme="minorEastAsia" w:cstheme="minorEastAsia"/>
                <w:b/>
                <w:bCs/>
                <w:sz w:val="24"/>
                <w:szCs w:val="24"/>
                <w:highlight w:val="none"/>
                <w:vertAlign w:val="baseline"/>
                <w:lang w:val="en-US" w:eastAsia="zh-CN"/>
              </w:rPr>
              <w:t>氧化亚氮（笑气）</w:t>
            </w:r>
          </w:p>
        </w:tc>
      </w:tr>
      <w:tr w14:paraId="3177687A">
        <w:tblPrEx>
          <w:tblCellMar>
            <w:top w:w="0" w:type="dxa"/>
            <w:left w:w="108" w:type="dxa"/>
            <w:bottom w:w="0" w:type="dxa"/>
            <w:right w:w="108" w:type="dxa"/>
          </w:tblCellMar>
        </w:tblPrEx>
        <w:trPr>
          <w:trHeight w:val="553" w:hRule="atLeast"/>
          <w:jc w:val="center"/>
        </w:trPr>
        <w:tc>
          <w:tcPr>
            <w:tcW w:w="2051" w:type="dxa"/>
            <w:tcBorders>
              <w:top w:val="single" w:color="auto" w:sz="4" w:space="0"/>
              <w:left w:val="single" w:color="auto" w:sz="4" w:space="0"/>
              <w:bottom w:val="single" w:color="auto" w:sz="4" w:space="0"/>
              <w:right w:val="single" w:color="auto" w:sz="4" w:space="0"/>
            </w:tcBorders>
            <w:noWrap/>
            <w:vAlign w:val="center"/>
          </w:tcPr>
          <w:p w14:paraId="3F6F130E">
            <w:pPr>
              <w:widowControl/>
              <w:jc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采购内容</w:t>
            </w:r>
          </w:p>
        </w:tc>
        <w:tc>
          <w:tcPr>
            <w:tcW w:w="8385" w:type="dxa"/>
            <w:gridSpan w:val="4"/>
            <w:tcBorders>
              <w:top w:val="single" w:color="auto" w:sz="4" w:space="0"/>
              <w:left w:val="nil"/>
              <w:bottom w:val="single" w:color="auto" w:sz="4" w:space="0"/>
              <w:right w:val="single" w:color="auto" w:sz="4" w:space="0"/>
            </w:tcBorders>
            <w:noWrap/>
            <w:vAlign w:val="center"/>
          </w:tcPr>
          <w:p w14:paraId="5B21F210">
            <w:pPr>
              <w:spacing w:line="240" w:lineRule="auto"/>
              <w:ind w:right="0" w:rightChars="0"/>
              <w:jc w:val="both"/>
              <w:rPr>
                <w:rFonts w:hint="eastAsia" w:ascii="仿宋" w:hAnsi="仿宋" w:eastAsia="仿宋" w:cs="仿宋"/>
                <w:kern w:val="0"/>
                <w:sz w:val="24"/>
                <w:lang w:val="en-US" w:eastAsia="zh-CN"/>
              </w:rPr>
            </w:pPr>
            <w:r>
              <w:rPr>
                <w:rFonts w:hint="eastAsia" w:asciiTheme="minorEastAsia" w:hAnsiTheme="minorEastAsia" w:cstheme="minorEastAsia"/>
                <w:b/>
                <w:bCs/>
                <w:sz w:val="24"/>
                <w:szCs w:val="24"/>
                <w:highlight w:val="none"/>
                <w:vertAlign w:val="baseline"/>
                <w:lang w:val="en-US" w:eastAsia="zh-CN"/>
              </w:rPr>
              <w:t>40L氧化亚氮（笑气）。</w:t>
            </w:r>
          </w:p>
        </w:tc>
      </w:tr>
      <w:tr w14:paraId="57AB8C0E">
        <w:tblPrEx>
          <w:tblCellMar>
            <w:top w:w="0" w:type="dxa"/>
            <w:left w:w="108" w:type="dxa"/>
            <w:bottom w:w="0" w:type="dxa"/>
            <w:right w:w="108" w:type="dxa"/>
          </w:tblCellMar>
        </w:tblPrEx>
        <w:trPr>
          <w:trHeight w:val="1126" w:hRule="atLeast"/>
          <w:jc w:val="center"/>
        </w:trPr>
        <w:tc>
          <w:tcPr>
            <w:tcW w:w="2051" w:type="dxa"/>
            <w:tcBorders>
              <w:top w:val="single" w:color="auto" w:sz="4" w:space="0"/>
              <w:left w:val="single" w:color="auto" w:sz="4" w:space="0"/>
              <w:bottom w:val="single" w:color="auto" w:sz="4" w:space="0"/>
              <w:right w:val="single" w:color="auto" w:sz="4" w:space="0"/>
            </w:tcBorders>
            <w:noWrap/>
            <w:vAlign w:val="center"/>
          </w:tcPr>
          <w:p w14:paraId="1DC8AAC2">
            <w:pPr>
              <w:widowControl/>
              <w:jc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商务要求（实质性要求）</w:t>
            </w:r>
          </w:p>
        </w:tc>
        <w:tc>
          <w:tcPr>
            <w:tcW w:w="8385" w:type="dxa"/>
            <w:gridSpan w:val="4"/>
            <w:tcBorders>
              <w:top w:val="single" w:color="auto" w:sz="4" w:space="0"/>
              <w:left w:val="nil"/>
              <w:bottom w:val="single" w:color="auto" w:sz="4" w:space="0"/>
              <w:right w:val="single" w:color="auto" w:sz="4" w:space="0"/>
            </w:tcBorders>
            <w:noWrap/>
            <w:vAlign w:val="center"/>
          </w:tcPr>
          <w:p w14:paraId="17BDFC0E">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中标人按照采购报价单规定的货物名称、规格、参数要求进行配送。如有质量问题或与采购需求不符，由中标人承担全部责任，采购人保留追究相关损失的权利；</w:t>
            </w:r>
          </w:p>
          <w:p w14:paraId="6B9D2015">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交货时间：根据采购人实际需要送货；</w:t>
            </w:r>
          </w:p>
          <w:p w14:paraId="0AB958DD">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0" w:firstLineChars="0"/>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付款时间、方式：自中标人交付货物后，采购人验收合格入库后1个季度内支付款项。采购人付款前，中标人须向甲方出具完整、合法、有效的完税发票及凭证资料进行结算。</w:t>
            </w:r>
          </w:p>
        </w:tc>
      </w:tr>
      <w:tr w14:paraId="2BE21BBE">
        <w:tblPrEx>
          <w:tblCellMar>
            <w:top w:w="0" w:type="dxa"/>
            <w:left w:w="108" w:type="dxa"/>
            <w:bottom w:w="0" w:type="dxa"/>
            <w:right w:w="108" w:type="dxa"/>
          </w:tblCellMar>
        </w:tblPrEx>
        <w:trPr>
          <w:trHeight w:val="1472" w:hRule="atLeast"/>
          <w:jc w:val="center"/>
        </w:trPr>
        <w:tc>
          <w:tcPr>
            <w:tcW w:w="2051" w:type="dxa"/>
            <w:tcBorders>
              <w:top w:val="single" w:color="auto" w:sz="4" w:space="0"/>
              <w:left w:val="single" w:color="auto" w:sz="4" w:space="0"/>
              <w:bottom w:val="single" w:color="auto" w:sz="4" w:space="0"/>
              <w:right w:val="single" w:color="auto" w:sz="4" w:space="0"/>
            </w:tcBorders>
            <w:noWrap/>
            <w:vAlign w:val="center"/>
          </w:tcPr>
          <w:p w14:paraId="119BC8B6">
            <w:pPr>
              <w:widowControl/>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技术</w:t>
            </w:r>
            <w:r>
              <w:rPr>
                <w:rFonts w:hint="eastAsia" w:ascii="宋体" w:hAnsi="宋体" w:eastAsia="宋体" w:cs="宋体"/>
                <w:b/>
                <w:bCs/>
                <w:kern w:val="0"/>
                <w:sz w:val="24"/>
                <w:lang w:val="en-US" w:eastAsia="zh-CN"/>
              </w:rPr>
              <w:t>参数要求</w:t>
            </w:r>
          </w:p>
        </w:tc>
        <w:tc>
          <w:tcPr>
            <w:tcW w:w="8385" w:type="dxa"/>
            <w:gridSpan w:val="4"/>
            <w:tcBorders>
              <w:top w:val="single" w:color="auto" w:sz="4" w:space="0"/>
              <w:left w:val="nil"/>
              <w:bottom w:val="single" w:color="auto" w:sz="4" w:space="0"/>
              <w:right w:val="single" w:color="auto" w:sz="4" w:space="0"/>
            </w:tcBorders>
            <w:noWrap/>
            <w:vAlign w:val="center"/>
          </w:tcPr>
          <w:p w14:paraId="38176AAE">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氧化亚氮（笑气）纯度：≥99.9%；质量标准：符合《中国药典》2025版第二部要求；</w:t>
            </w:r>
          </w:p>
          <w:p w14:paraId="39D196C0">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中标人根据采购人所需气瓶数量和规格大小(气瓶应按相关标准和要求灌满氧气，气瓶的所有权归投标人)进行瓶装医用气的配送，提供的气瓶须在质检合格期内；</w:t>
            </w:r>
          </w:p>
          <w:p w14:paraId="1CA125AA">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若投标人为生产厂家须具有有效的《药品生产许可证》；若投标人为非生产厂家须具有有效的《药品经营许可证》、生产厂家的《药品生产许可证》;</w:t>
            </w:r>
          </w:p>
          <w:p w14:paraId="10EC156B">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投标人具有有效的《危险化学品经营许可证》</w:t>
            </w:r>
            <w:r>
              <w:rPr>
                <w:rFonts w:hint="eastAsia" w:ascii="仿宋" w:hAnsi="仿宋" w:eastAsia="仿宋" w:cs="仿宋"/>
                <w:b/>
                <w:bCs/>
                <w:color w:val="auto"/>
                <w:sz w:val="24"/>
                <w:szCs w:val="24"/>
                <w:lang w:val="en-US" w:eastAsia="zh-CN"/>
              </w:rPr>
              <w:t>;</w:t>
            </w:r>
          </w:p>
          <w:p w14:paraId="0D35F8BF">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投标人须具有有效的《气瓶充装许可证》或者《移动式压力容器充装许可证》</w:t>
            </w:r>
            <w:r>
              <w:rPr>
                <w:rFonts w:hint="eastAsia" w:ascii="仿宋" w:hAnsi="仿宋" w:eastAsia="仿宋" w:cs="仿宋"/>
                <w:b/>
                <w:bCs/>
                <w:color w:val="auto"/>
                <w:sz w:val="24"/>
                <w:szCs w:val="24"/>
                <w:lang w:val="en-US" w:eastAsia="zh-CN"/>
              </w:rPr>
              <w:t>;</w:t>
            </w:r>
          </w:p>
          <w:p w14:paraId="7BBD9258">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default" w:ascii="仿宋" w:hAnsi="仿宋" w:eastAsia="仿宋" w:cs="仿宋"/>
                <w:kern w:val="0"/>
                <w:sz w:val="24"/>
                <w:lang w:val="en-US" w:eastAsia="zh-CN"/>
              </w:rPr>
            </w:pPr>
            <w:r>
              <w:rPr>
                <w:rFonts w:hint="eastAsia" w:ascii="仿宋" w:hAnsi="仿宋" w:eastAsia="仿宋" w:cs="仿宋"/>
                <w:b/>
                <w:bCs/>
                <w:color w:val="auto"/>
                <w:sz w:val="24"/>
                <w:szCs w:val="24"/>
                <w:lang w:val="en-US" w:eastAsia="zh-CN"/>
              </w:rPr>
              <w:t>中标人为本项目配置的配送驾驶员应具备中华人民共和国道路运输从业人员从业资格证，从业资格类别含：道路危险货物运输驾驶员；为本项目配置的配送押运人员应具备中华人民共和国道路运输从业人员从业资格证，从业资格类别含：道路危险货物运输押运人员。</w:t>
            </w:r>
          </w:p>
        </w:tc>
      </w:tr>
      <w:tr w14:paraId="47F89196">
        <w:tblPrEx>
          <w:tblCellMar>
            <w:top w:w="0" w:type="dxa"/>
            <w:left w:w="108" w:type="dxa"/>
            <w:bottom w:w="0" w:type="dxa"/>
            <w:right w:w="108" w:type="dxa"/>
          </w:tblCellMar>
        </w:tblPrEx>
        <w:trPr>
          <w:trHeight w:val="559" w:hRule="atLeast"/>
          <w:jc w:val="center"/>
        </w:trPr>
        <w:tc>
          <w:tcPr>
            <w:tcW w:w="10436" w:type="dxa"/>
            <w:gridSpan w:val="5"/>
            <w:tcBorders>
              <w:top w:val="single" w:color="auto" w:sz="4" w:space="0"/>
              <w:left w:val="single" w:color="auto" w:sz="4" w:space="0"/>
              <w:bottom w:val="single" w:color="auto" w:sz="4" w:space="0"/>
              <w:right w:val="single" w:color="auto" w:sz="4" w:space="0"/>
            </w:tcBorders>
            <w:noWrap/>
            <w:vAlign w:val="center"/>
          </w:tcPr>
          <w:p w14:paraId="190D641F">
            <w:pPr>
              <w:widowControl/>
              <w:jc w:val="center"/>
              <w:rPr>
                <w:rFonts w:hint="eastAsia" w:ascii="宋体" w:hAnsi="宋体" w:eastAsia="宋体" w:cs="宋体"/>
                <w:b/>
                <w:kern w:val="0"/>
                <w:sz w:val="24"/>
                <w:lang w:eastAsia="zh-CN"/>
              </w:rPr>
            </w:pPr>
            <w:r>
              <w:rPr>
                <w:rFonts w:hint="eastAsia" w:ascii="宋体" w:hAnsi="宋体" w:cs="宋体"/>
                <w:b/>
                <w:kern w:val="0"/>
                <w:sz w:val="24"/>
                <w:lang w:val="en-US" w:eastAsia="zh-CN"/>
              </w:rPr>
              <w:t>报  价</w:t>
            </w:r>
          </w:p>
        </w:tc>
      </w:tr>
      <w:tr w14:paraId="4633DB96">
        <w:tblPrEx>
          <w:tblCellMar>
            <w:top w:w="0" w:type="dxa"/>
            <w:left w:w="108" w:type="dxa"/>
            <w:bottom w:w="0" w:type="dxa"/>
            <w:right w:w="108" w:type="dxa"/>
          </w:tblCellMar>
        </w:tblPrEx>
        <w:trPr>
          <w:trHeight w:val="587" w:hRule="atLeast"/>
          <w:jc w:val="center"/>
        </w:trPr>
        <w:tc>
          <w:tcPr>
            <w:tcW w:w="2051" w:type="dxa"/>
            <w:tcBorders>
              <w:top w:val="nil"/>
              <w:left w:val="single" w:color="auto" w:sz="4" w:space="0"/>
              <w:bottom w:val="single" w:color="auto" w:sz="4" w:space="0"/>
              <w:right w:val="single" w:color="auto" w:sz="4" w:space="0"/>
            </w:tcBorders>
            <w:noWrap/>
            <w:vAlign w:val="center"/>
          </w:tcPr>
          <w:p w14:paraId="55A34FA6">
            <w:pPr>
              <w:widowControl/>
              <w:jc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报价项目</w:t>
            </w:r>
          </w:p>
        </w:tc>
        <w:tc>
          <w:tcPr>
            <w:tcW w:w="1903" w:type="dxa"/>
            <w:tcBorders>
              <w:top w:val="single" w:color="auto" w:sz="4" w:space="0"/>
              <w:left w:val="nil"/>
              <w:bottom w:val="single" w:color="auto" w:sz="4" w:space="0"/>
              <w:right w:val="single" w:color="auto" w:sz="4" w:space="0"/>
            </w:tcBorders>
            <w:noWrap/>
            <w:vAlign w:val="center"/>
          </w:tcPr>
          <w:p w14:paraId="6C171B1A">
            <w:pPr>
              <w:widowControl/>
              <w:jc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单价限价（元）</w:t>
            </w:r>
          </w:p>
        </w:tc>
        <w:tc>
          <w:tcPr>
            <w:tcW w:w="1293" w:type="dxa"/>
            <w:tcBorders>
              <w:top w:val="single" w:color="auto" w:sz="4" w:space="0"/>
              <w:left w:val="single" w:color="auto" w:sz="4" w:space="0"/>
              <w:bottom w:val="single" w:color="auto" w:sz="4" w:space="0"/>
              <w:right w:val="single" w:color="auto" w:sz="4" w:space="0"/>
            </w:tcBorders>
            <w:noWrap/>
            <w:vAlign w:val="center"/>
          </w:tcPr>
          <w:p w14:paraId="5A388012">
            <w:pPr>
              <w:widowControl/>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规格型号</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3D574">
            <w:pPr>
              <w:widowControl/>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lang w:val="en-US" w:eastAsia="zh-CN"/>
              </w:rPr>
              <w:t>数量</w:t>
            </w:r>
          </w:p>
        </w:tc>
        <w:tc>
          <w:tcPr>
            <w:tcW w:w="4283" w:type="dxa"/>
            <w:tcBorders>
              <w:top w:val="single" w:color="auto" w:sz="4" w:space="0"/>
              <w:left w:val="nil"/>
              <w:bottom w:val="single" w:color="auto" w:sz="4" w:space="0"/>
              <w:right w:val="single" w:color="auto" w:sz="4" w:space="0"/>
            </w:tcBorders>
            <w:noWrap/>
            <w:vAlign w:val="center"/>
          </w:tcPr>
          <w:p w14:paraId="5CD4091D">
            <w:pPr>
              <w:widowControl/>
              <w:jc w:val="center"/>
              <w:rPr>
                <w:rFonts w:hint="default"/>
                <w:b/>
                <w:bCs/>
                <w:color w:val="auto"/>
                <w:sz w:val="24"/>
                <w:szCs w:val="24"/>
                <w:highlight w:val="none"/>
                <w:lang w:val="en-US" w:eastAsia="zh-CN"/>
              </w:rPr>
            </w:pPr>
            <w:r>
              <w:rPr>
                <w:rFonts w:hint="eastAsia" w:ascii="宋体" w:hAnsi="宋体" w:eastAsia="宋体" w:cs="宋体"/>
                <w:b/>
                <w:bCs/>
                <w:kern w:val="0"/>
                <w:sz w:val="24"/>
                <w:lang w:val="en-US" w:eastAsia="zh-CN"/>
              </w:rPr>
              <w:t>单价报价（元）</w:t>
            </w:r>
          </w:p>
        </w:tc>
      </w:tr>
      <w:tr w14:paraId="19A001DD">
        <w:tblPrEx>
          <w:tblCellMar>
            <w:top w:w="0" w:type="dxa"/>
            <w:left w:w="108" w:type="dxa"/>
            <w:bottom w:w="0" w:type="dxa"/>
            <w:right w:w="108" w:type="dxa"/>
          </w:tblCellMar>
        </w:tblPrEx>
        <w:trPr>
          <w:trHeight w:val="1125" w:hRule="atLeast"/>
          <w:jc w:val="center"/>
        </w:trPr>
        <w:tc>
          <w:tcPr>
            <w:tcW w:w="2051" w:type="dxa"/>
            <w:tcBorders>
              <w:top w:val="nil"/>
              <w:left w:val="single" w:color="auto" w:sz="4" w:space="0"/>
              <w:bottom w:val="single" w:color="auto" w:sz="4" w:space="0"/>
              <w:right w:val="single" w:color="auto" w:sz="4" w:space="0"/>
            </w:tcBorders>
            <w:noWrap/>
            <w:vAlign w:val="center"/>
          </w:tcPr>
          <w:p w14:paraId="5FAF32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氧化亚氮</w:t>
            </w:r>
            <w:r>
              <w:rPr>
                <w:rFonts w:hint="eastAsia" w:ascii="宋体" w:hAnsi="宋体" w:eastAsia="宋体" w:cs="宋体"/>
                <w:b w:val="0"/>
                <w:bCs w:val="0"/>
                <w:kern w:val="0"/>
                <w:sz w:val="24"/>
                <w:lang w:val="en-US" w:eastAsia="zh-CN"/>
              </w:rPr>
              <w:t>（笑气）</w:t>
            </w:r>
          </w:p>
        </w:tc>
        <w:tc>
          <w:tcPr>
            <w:tcW w:w="1903" w:type="dxa"/>
            <w:tcBorders>
              <w:top w:val="single" w:color="auto" w:sz="4" w:space="0"/>
              <w:left w:val="nil"/>
              <w:bottom w:val="single" w:color="auto" w:sz="4" w:space="0"/>
              <w:right w:val="single" w:color="auto" w:sz="4" w:space="0"/>
            </w:tcBorders>
            <w:noWrap/>
            <w:vAlign w:val="center"/>
          </w:tcPr>
          <w:p w14:paraId="574522BC">
            <w:pPr>
              <w:keepNext w:val="0"/>
              <w:keepLines w:val="0"/>
              <w:widowControl/>
              <w:suppressLineNumbers w:val="0"/>
              <w:jc w:val="center"/>
              <w:rPr>
                <w:rFonts w:hint="default"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2</w:t>
            </w:r>
            <w:r>
              <w:rPr>
                <w:rFonts w:hint="eastAsia" w:ascii="宋体" w:hAnsi="宋体" w:cs="宋体"/>
                <w:b w:val="0"/>
                <w:bCs w:val="0"/>
                <w:kern w:val="0"/>
                <w:sz w:val="24"/>
                <w:lang w:val="en-US" w:eastAsia="zh-CN"/>
              </w:rPr>
              <w:t>20</w:t>
            </w:r>
            <w:r>
              <w:rPr>
                <w:rFonts w:hint="eastAsia" w:ascii="宋体" w:hAnsi="宋体" w:eastAsia="宋体" w:cs="宋体"/>
                <w:b w:val="0"/>
                <w:bCs w:val="0"/>
                <w:kern w:val="0"/>
                <w:sz w:val="24"/>
                <w:lang w:val="en-US" w:eastAsia="zh-CN"/>
              </w:rPr>
              <w:t>0</w:t>
            </w:r>
          </w:p>
        </w:tc>
        <w:tc>
          <w:tcPr>
            <w:tcW w:w="1293" w:type="dxa"/>
            <w:tcBorders>
              <w:top w:val="single" w:color="auto" w:sz="4" w:space="0"/>
              <w:left w:val="single" w:color="auto" w:sz="4" w:space="0"/>
              <w:bottom w:val="single" w:color="auto" w:sz="4" w:space="0"/>
              <w:right w:val="single" w:color="auto" w:sz="4" w:space="0"/>
            </w:tcBorders>
            <w:noWrap/>
            <w:vAlign w:val="center"/>
          </w:tcPr>
          <w:p w14:paraId="3ED76F25">
            <w:pPr>
              <w:keepNext w:val="0"/>
              <w:keepLines w:val="0"/>
              <w:widowControl/>
              <w:suppressLineNumbers w:val="0"/>
              <w:jc w:val="center"/>
              <w:rPr>
                <w:rFonts w:hint="default"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40L</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5BAD5">
            <w:pPr>
              <w:keepNext w:val="0"/>
              <w:keepLines w:val="0"/>
              <w:widowControl/>
              <w:suppressLineNumbers w:val="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lang w:val="en-US" w:eastAsia="zh-CN"/>
              </w:rPr>
              <w:t>4瓶</w:t>
            </w:r>
          </w:p>
        </w:tc>
        <w:tc>
          <w:tcPr>
            <w:tcW w:w="4283" w:type="dxa"/>
            <w:tcBorders>
              <w:top w:val="single" w:color="auto" w:sz="4" w:space="0"/>
              <w:left w:val="nil"/>
              <w:bottom w:val="single" w:color="auto" w:sz="4" w:space="0"/>
              <w:right w:val="single" w:color="auto" w:sz="4" w:space="0"/>
            </w:tcBorders>
            <w:noWrap/>
            <w:vAlign w:val="center"/>
          </w:tcPr>
          <w:p w14:paraId="31C8B64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kern w:val="0"/>
                <w:sz w:val="24"/>
                <w:lang w:val="en-US" w:eastAsia="zh-CN"/>
              </w:rPr>
            </w:pPr>
          </w:p>
        </w:tc>
      </w:tr>
    </w:tbl>
    <w:p w14:paraId="4324ABB1">
      <w:pPr>
        <w:widowControl/>
        <w:jc w:val="both"/>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注：</w:t>
      </w:r>
    </w:p>
    <w:p w14:paraId="627E3B0D">
      <w:pPr>
        <w:widowControl/>
        <w:jc w:val="both"/>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1.报价包含气体和气瓶的使用费及运输费。由中标人负责对所有气瓶进行维护，此费用已包含于报价中，采购人不再另行支付；</w:t>
      </w:r>
    </w:p>
    <w:p w14:paraId="5DAA7F1D">
      <w:pPr>
        <w:widowControl/>
        <w:numPr>
          <w:ilvl w:val="0"/>
          <w:numId w:val="3"/>
        </w:numPr>
        <w:ind w:leftChars="0"/>
        <w:jc w:val="both"/>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供应商需提供营业执照复印件（2）法人授权书（法人参加可不提供）及法人、被授权人身份证复印件；</w:t>
      </w:r>
    </w:p>
    <w:p w14:paraId="5F243509">
      <w:pPr>
        <w:widowControl/>
        <w:numPr>
          <w:ilvl w:val="0"/>
          <w:numId w:val="3"/>
        </w:numPr>
        <w:ind w:leftChars="0"/>
        <w:jc w:val="both"/>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此表为供应商报价唯一依据</w:t>
      </w:r>
      <w:r>
        <w:rPr>
          <w:rFonts w:hint="eastAsia" w:ascii="仿宋" w:hAnsi="仿宋" w:eastAsia="仿宋" w:cs="仿宋"/>
          <w:b/>
          <w:bCs/>
          <w:kern w:val="0"/>
          <w:sz w:val="24"/>
          <w:lang w:val="en-US" w:eastAsia="zh-CN"/>
        </w:rPr>
        <w:t>，盖章并签字视为完全响应上述商务要求及技术参数要求。</w:t>
      </w:r>
      <w:r>
        <w:rPr>
          <w:rFonts w:hint="eastAsia" w:ascii="宋体" w:hAnsi="宋体" w:eastAsia="宋体" w:cs="宋体"/>
          <w:kern w:val="0"/>
          <w:sz w:val="24"/>
          <w:lang w:val="en-US" w:eastAsia="zh-CN"/>
        </w:rPr>
        <w:t xml:space="preserve"> </w:t>
      </w:r>
    </w:p>
    <w:p w14:paraId="56CFD722">
      <w:pPr>
        <w:widowControl/>
        <w:numPr>
          <w:ilvl w:val="0"/>
          <w:numId w:val="0"/>
        </w:numPr>
        <w:ind w:leftChars="0"/>
        <w:jc w:val="both"/>
        <w:rPr>
          <w:rFonts w:hint="default" w:ascii="仿宋" w:hAnsi="仿宋" w:eastAsia="仿宋" w:cs="仿宋"/>
          <w:kern w:val="0"/>
          <w:sz w:val="24"/>
          <w:lang w:val="en-US" w:eastAsia="zh-CN"/>
        </w:rPr>
      </w:pPr>
    </w:p>
    <w:p w14:paraId="24C3B5A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报价单位（盖章）</w:t>
      </w:r>
      <w:r>
        <w:rPr>
          <w:rFonts w:hint="eastAsia" w:ascii="仿宋" w:hAnsi="仿宋" w:eastAsia="仿宋" w:cs="仿宋"/>
          <w:b w:val="0"/>
          <w:bCs w:val="0"/>
          <w:kern w:val="0"/>
          <w:sz w:val="24"/>
          <w:szCs w:val="24"/>
          <w:lang w:val="en-US" w:eastAsia="zh-CN"/>
        </w:rPr>
        <w:t>：</w:t>
      </w:r>
      <w:r>
        <w:rPr>
          <w:rFonts w:hint="eastAsia" w:ascii="仿宋" w:hAnsi="仿宋" w:eastAsia="仿宋" w:cs="仿宋"/>
          <w:b w:val="0"/>
          <w:bCs w:val="0"/>
          <w:sz w:val="24"/>
          <w:szCs w:val="24"/>
          <w:lang w:val="en-US" w:eastAsia="zh-CN"/>
        </w:rPr>
        <w:t xml:space="preserve"> </w:t>
      </w:r>
      <w:r>
        <w:rPr>
          <w:rFonts w:hint="eastAsia" w:ascii="仿宋" w:hAnsi="仿宋" w:eastAsia="仿宋" w:cs="仿宋"/>
          <w:sz w:val="24"/>
          <w:szCs w:val="24"/>
          <w:lang w:val="en-US" w:eastAsia="zh-CN"/>
        </w:rPr>
        <w:t xml:space="preserve">                          法定代表人（签章）：</w:t>
      </w:r>
    </w:p>
    <w:p w14:paraId="1C682624">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联系电话：</w:t>
      </w:r>
    </w:p>
    <w:p w14:paraId="6156483F">
      <w:pPr>
        <w:rPr>
          <w:rFonts w:hint="eastAsia"/>
          <w:lang w:val="en-US" w:eastAsia="zh-CN"/>
        </w:rPr>
      </w:pPr>
    </w:p>
    <w:p w14:paraId="5C210A9A">
      <w:pPr>
        <w:pStyle w:val="2"/>
        <w:keepNext w:val="0"/>
        <w:keepLines w:val="0"/>
        <w:pageBreakBefore w:val="0"/>
        <w:kinsoku/>
        <w:wordWrap/>
        <w:overflowPunct/>
        <w:topLinePunct w:val="0"/>
        <w:autoSpaceDE/>
        <w:autoSpaceDN/>
        <w:bidi w:val="0"/>
        <w:adjustRightInd/>
        <w:snapToGrid/>
        <w:spacing w:line="400" w:lineRule="exact"/>
        <w:ind w:firstLine="6480" w:firstLineChars="2700"/>
        <w:textAlignment w:val="auto"/>
      </w:pPr>
      <w:r>
        <w:rPr>
          <w:rFonts w:hint="eastAsia" w:ascii="仿宋" w:hAnsi="仿宋" w:eastAsia="仿宋" w:cs="仿宋"/>
          <w:sz w:val="24"/>
          <w:szCs w:val="24"/>
          <w:lang w:val="en-US" w:eastAsia="zh-CN"/>
        </w:rPr>
        <w:t xml:space="preserve"> 年   月    日</w:t>
      </w:r>
      <w:bookmarkStart w:id="0" w:name="_GoBack"/>
      <w:bookmarkEnd w:id="0"/>
    </w:p>
    <w:sectPr>
      <w:headerReference r:id="rId3" w:type="default"/>
      <w:pgSz w:w="11907" w:h="16840"/>
      <w:pgMar w:top="1418" w:right="1134" w:bottom="1418"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595E">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9DEE4"/>
    <w:multiLevelType w:val="singleLevel"/>
    <w:tmpl w:val="BEF9DEE4"/>
    <w:lvl w:ilvl="0" w:tentative="0">
      <w:start w:val="2"/>
      <w:numFmt w:val="decimal"/>
      <w:lvlText w:val="%1."/>
      <w:lvlJc w:val="left"/>
      <w:pPr>
        <w:tabs>
          <w:tab w:val="left" w:pos="312"/>
        </w:tabs>
      </w:pPr>
    </w:lvl>
  </w:abstractNum>
  <w:abstractNum w:abstractNumId="1">
    <w:nsid w:val="DE7A29E4"/>
    <w:multiLevelType w:val="singleLevel"/>
    <w:tmpl w:val="DE7A29E4"/>
    <w:lvl w:ilvl="0" w:tentative="0">
      <w:start w:val="1"/>
      <w:numFmt w:val="decimal"/>
      <w:lvlText w:val="%1."/>
      <w:lvlJc w:val="left"/>
      <w:pPr>
        <w:tabs>
          <w:tab w:val="left" w:pos="312"/>
        </w:tabs>
      </w:pPr>
    </w:lvl>
  </w:abstractNum>
  <w:abstractNum w:abstractNumId="2">
    <w:nsid w:val="EA23B37F"/>
    <w:multiLevelType w:val="singleLevel"/>
    <w:tmpl w:val="EA23B37F"/>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3550E"/>
    <w:rsid w:val="7BF35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2025-11-07T02:15:00Z</dcterms:created>
  <dc:creator>东方既白</dc:creator>
  <cp:lastModifiedBy>东方既白</cp:lastModifiedBy>
  <dcterms:modified xsi:type="dcterms:W3CDTF">2025-11-07T02:15:40Z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7AA5436CBAD942998156F53C88347E24_11</vt:lpwstr>
  </property>
  <property fmtid="{D5CDD505-2E9C-101B-9397-08002B2CF9AE}" pid="4" name="KSOTemplateDocerSaveRecord">
    <vt:lpwstr>eyJoZGlkIjoiZTk1Y2ExNjhiMTBhN2E4YmNiNDcwOThhMTk2MzM5OTIiLCJ1c2VySWQiOiIyNDE1NDc5NzMifQ==</vt:lpwstr>
  </property>
</Properties>
</file>